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REAL-TIME ANOMALY DETECTION IN NYC TAXI DATA USING A MULTI-STREAM STREAMING ARCHITECTURE AND A HYBRID MACHINE LEARNING MODEL</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Pham Hung Quoc Viet, Le Ngo Minh Hoang — University of Information Technology, VNU-HCM</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paper presents the design and end-to-end implementation of a real-time anomaly detection system for New York City taxi trip data, targeting fraud patterns such as unrealistic speeds, implausible fares, and inconsistent trip durations. The system processes two parallel data streams — Yellow Taxi (3,952,451 records) and Green Taxi (44,208 records) from the NYC TLC March 2026 dataset — through a layered Big Data architecture fully containerized with Docker Compose.</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ingestion layer, two independent Python producers simulate continuous streaming into a shared Apache Kafka topic (taxi stream). Spark Structured Streaming (v4.1.1) consumes micro-batches and applies a two-phase feature engineering pipeline: six base features computed in Spark SQL, followed by eight advanced features derived in pandas — including cyclical hour encoding (sin/cos), log transforms, interaction terms, and contextual time flags — yielding a 14-dimensional feature vector per trip.</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machine learning core employs a </w:t>
      </w:r>
      <w:r w:rsidDel="00000000" w:rsidR="00000000" w:rsidRPr="00000000">
        <w:rPr>
          <w:rFonts w:ascii="Times New Roman" w:cs="Times New Roman" w:eastAsia="Times New Roman" w:hAnsi="Times New Roman"/>
          <w:b w:val="1"/>
          <w:bCs w:val="1"/>
          <w:sz w:val="26"/>
          <w:szCs w:val="26"/>
          <w:rtl w:val="0"/>
        </w:rPr>
        <w:t xml:space="preserve">Strict Ensemble</w:t>
      </w:r>
      <w:r w:rsidDel="00000000" w:rsidR="00000000" w:rsidRPr="00000000">
        <w:rPr>
          <w:rFonts w:ascii="Times New Roman" w:cs="Times New Roman" w:eastAsia="Times New Roman" w:hAnsi="Times New Roman"/>
          <w:sz w:val="26"/>
          <w:szCs w:val="26"/>
          <w:rtl w:val="0"/>
        </w:rPr>
        <w:t xml:space="preserve"> of Isolation Forest (IF, 200 estimators) and Minimum Covariance Determinant (MCD, Mahalanobis distance at the 97.5th percentile). A record is flagged anomalous only when </w:t>
      </w:r>
      <w:r w:rsidDel="00000000" w:rsidR="00000000" w:rsidRPr="00000000">
        <w:rPr>
          <w:rFonts w:ascii="Times New Roman" w:cs="Times New Roman" w:eastAsia="Times New Roman" w:hAnsi="Times New Roman"/>
          <w:b w:val="1"/>
          <w:bCs w:val="1"/>
          <w:sz w:val="26"/>
          <w:szCs w:val="26"/>
          <w:rtl w:val="0"/>
        </w:rPr>
        <w:t xml:space="preserve">both</w:t>
      </w:r>
      <w:r w:rsidDel="00000000" w:rsidR="00000000" w:rsidRPr="00000000">
        <w:rPr>
          <w:rFonts w:ascii="Times New Roman" w:cs="Times New Roman" w:eastAsia="Times New Roman" w:hAnsi="Times New Roman"/>
          <w:sz w:val="26"/>
          <w:szCs w:val="26"/>
          <w:rtl w:val="0"/>
        </w:rPr>
        <w:t xml:space="preserve"> models agree, substantially reducing false positives compared to union voting. An Adaptive Contamination mechanism (80% fixed prior + 20% observed rate, clamped to [0.01, 0.04]) prevents concept drift during continuous retraining every 25 batches over a rolling buffer of 10,000 records. Results are persisted in PostgreSQL across three tables and visualized through a Streamlit dashboard refreshing every 3 seconds.</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Experiments demonstrate a combined throughput of approximately </w:t>
      </w:r>
      <w:r w:rsidDel="00000000" w:rsidR="00000000" w:rsidRPr="00000000">
        <w:rPr>
          <w:rFonts w:ascii="Times New Roman" w:cs="Times New Roman" w:eastAsia="Times New Roman" w:hAnsi="Times New Roman"/>
          <w:b w:val="1"/>
          <w:bCs w:val="1"/>
          <w:sz w:val="26"/>
          <w:szCs w:val="26"/>
          <w:rtl w:val="0"/>
        </w:rPr>
        <w:t xml:space="preserve">1200 rows/s</w:t>
      </w:r>
      <w:r w:rsidDel="00000000" w:rsidR="00000000" w:rsidRPr="00000000">
        <w:rPr>
          <w:rFonts w:ascii="Times New Roman" w:cs="Times New Roman" w:eastAsia="Times New Roman" w:hAnsi="Times New Roman"/>
          <w:sz w:val="26"/>
          <w:szCs w:val="26"/>
          <w:rtl w:val="0"/>
        </w:rPr>
        <w:t xml:space="preserve">, an average latency of </w:t>
      </w:r>
      <w:r w:rsidDel="00000000" w:rsidR="00000000" w:rsidRPr="00000000">
        <w:rPr>
          <w:rFonts w:ascii="Times New Roman" w:cs="Times New Roman" w:eastAsia="Times New Roman" w:hAnsi="Times New Roman"/>
          <w:b w:val="1"/>
          <w:bCs w:val="1"/>
          <w:sz w:val="26"/>
          <w:szCs w:val="26"/>
          <w:rtl w:val="0"/>
        </w:rPr>
        <w:t xml:space="preserve">230 ms</w:t>
      </w:r>
      <w:r w:rsidDel="00000000" w:rsidR="00000000" w:rsidRPr="00000000">
        <w:rPr>
          <w:rFonts w:ascii="Times New Roman" w:cs="Times New Roman" w:eastAsia="Times New Roman" w:hAnsi="Times New Roman"/>
          <w:sz w:val="26"/>
          <w:szCs w:val="26"/>
          <w:rtl w:val="0"/>
        </w:rPr>
        <w:t xml:space="preserve">, and a stable anomaly rate of </w:t>
      </w:r>
      <w:r w:rsidDel="00000000" w:rsidR="00000000" w:rsidRPr="00000000">
        <w:rPr>
          <w:rFonts w:ascii="Times New Roman" w:cs="Times New Roman" w:eastAsia="Times New Roman" w:hAnsi="Times New Roman"/>
          <w:b w:val="1"/>
          <w:bCs w:val="1"/>
          <w:sz w:val="26"/>
          <w:szCs w:val="26"/>
          <w:rtl w:val="0"/>
        </w:rPr>
        <w:t xml:space="preserve">1.95%</w:t>
      </w:r>
      <w:r w:rsidDel="00000000" w:rsidR="00000000" w:rsidRPr="00000000">
        <w:rPr>
          <w:rFonts w:ascii="Times New Roman" w:cs="Times New Roman" w:eastAsia="Times New Roman" w:hAnsi="Times New Roman"/>
          <w:sz w:val="26"/>
          <w:szCs w:val="26"/>
          <w:rtl w:val="0"/>
        </w:rPr>
        <w:t xml:space="preserve"> across 3,996,659 total records. Model quality is confirmed by </w:t>
      </w:r>
      <w:r w:rsidDel="00000000" w:rsidR="00000000" w:rsidRPr="00000000">
        <w:rPr>
          <w:rFonts w:ascii="Times New Roman" w:cs="Times New Roman" w:eastAsia="Times New Roman" w:hAnsi="Times New Roman"/>
          <w:b w:val="1"/>
          <w:bCs w:val="1"/>
          <w:sz w:val="26"/>
          <w:szCs w:val="26"/>
          <w:rtl w:val="0"/>
        </w:rPr>
        <w:t xml:space="preserve">Cohen's d = 2.65</w:t>
      </w:r>
      <w:r w:rsidDel="00000000" w:rsidR="00000000" w:rsidRPr="00000000">
        <w:rPr>
          <w:rFonts w:ascii="Times New Roman" w:cs="Times New Roman" w:eastAsia="Times New Roman" w:hAnsi="Times New Roman"/>
          <w:sz w:val="26"/>
          <w:szCs w:val="26"/>
          <w:rtl w:val="0"/>
        </w:rPr>
        <w:t xml:space="preserve"> (EXCELLENT), indicating strong score separation between normal and anomalous trips. Eight distinct anomaly categories are automatically labeled, dominated by </w:t>
      </w:r>
      <w:r w:rsidDel="00000000" w:rsidR="00000000" w:rsidRPr="00000000">
        <w:rPr>
          <w:rFonts w:ascii="Times New Roman" w:cs="Times New Roman" w:eastAsia="Times New Roman" w:hAnsi="Times New Roman"/>
          <w:i w:val="1"/>
          <w:iCs w:val="1"/>
          <w:sz w:val="26"/>
          <w:szCs w:val="26"/>
          <w:rtl w:val="0"/>
        </w:rPr>
        <w:t xml:space="preserve">Unrealistic Speed &gt;140 km/h</w:t>
      </w:r>
      <w:r w:rsidDel="00000000" w:rsidR="00000000" w:rsidRPr="00000000">
        <w:rPr>
          <w:rFonts w:ascii="Times New Roman" w:cs="Times New Roman" w:eastAsia="Times New Roman" w:hAnsi="Times New Roman"/>
          <w:sz w:val="26"/>
          <w:szCs w:val="26"/>
          <w:rtl w:val="0"/>
        </w:rPr>
        <w:t xml:space="preserve"> (71.0%) and </w:t>
      </w:r>
      <w:r w:rsidDel="00000000" w:rsidR="00000000" w:rsidRPr="00000000">
        <w:rPr>
          <w:rFonts w:ascii="Times New Roman" w:cs="Times New Roman" w:eastAsia="Times New Roman" w:hAnsi="Times New Roman"/>
          <w:i w:val="1"/>
          <w:iCs w:val="1"/>
          <w:sz w:val="26"/>
          <w:szCs w:val="26"/>
          <w:rtl w:val="0"/>
        </w:rPr>
        <w:t xml:space="preserve">Extremely High Fare per Mile</w:t>
      </w:r>
      <w:r w:rsidDel="00000000" w:rsidR="00000000" w:rsidRPr="00000000">
        <w:rPr>
          <w:rFonts w:ascii="Times New Roman" w:cs="Times New Roman" w:eastAsia="Times New Roman" w:hAnsi="Times New Roman"/>
          <w:sz w:val="26"/>
          <w:szCs w:val="26"/>
          <w:rtl w:val="0"/>
        </w:rPr>
        <w:t xml:space="preserve"> (20.8%). A Business Rule Overlap of 33.1% demonstrates that the ML ensemble discovers statistical patterns beyond hard-coded business rules, while a six-dimensional automated diagnostic (score separation, rate stability, reason coverage, feature sensitivity, rule overlap, and score bimodality) provides continuous model health monitoring.</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