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B. Duplication Risk Report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Low Risk</w:t>
      </w:r>
    </w:p>
    <w:p>
      <w:r>
        <w:t>The app links to ERPNext/Frappe masters rather than recreating them.</w:t>
      </w:r>
    </w:p>
    <w:p>
      <w:pPr>
        <w:pStyle w:val="Heading2"/>
      </w:pPr>
      <w:r>
        <w:t>Watch Items</w:t>
      </w:r>
    </w:p>
    <w:p>
      <w:pPr>
        <w:pStyle w:val="ListBullet"/>
      </w:pPr>
      <w:r>
        <w:t>Embassy Applicant Profile must remain a consular profile and must not become a duplicate Customer, Contact, or Address master.</w:t>
      </w:r>
    </w:p>
    <w:p>
      <w:pPr>
        <w:pStyle w:val="ListBullet"/>
      </w:pPr>
      <w:r>
        <w:t>Application Uploaded Document must link to File and must not store binary files.</w:t>
      </w:r>
    </w:p>
    <w:p>
      <w:pPr>
        <w:pStyle w:val="ListBullet"/>
      </w:pPr>
      <w:r>
        <w:t>Consular Payment Review must remain a review overlay and must not replace Sales Invoice or Payment Entry.</w:t>
      </w:r>
    </w:p>
    <w:p>
      <w:pPr>
        <w:pStyle w:val="ListBullet"/>
      </w:pPr>
      <w:r>
        <w:t>Application Form Template must not be used to replace Frappe Web Form where standard Web Form is sufficient.</w:t>
      </w:r>
    </w:p>
    <w:p>
      <w:pPr>
        <w:pStyle w:val="Heading2"/>
      </w:pPr>
      <w:r>
        <w:t>Controls</w:t>
      </w:r>
    </w:p>
    <w:p>
      <w:r>
        <w:t>Permission hooks, links to standard DocTypes, and docs reinforce the intended boundaries.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 Duplication Risk Report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