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A. Integration Audit Report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pPr>
        <w:pStyle w:val="Heading2"/>
      </w:pPr>
      <w:r>
        <w:t>Result</w:t>
      </w:r>
    </w:p>
    <w:p>
      <w:r>
        <w:t>The app is designed as an ERPNext/Frappe extension layer. Core ERPNext and Frappe files are not modified.</w:t>
      </w:r>
    </w:p>
    <w:p>
      <w:pPr>
        <w:pStyle w:val="Heading2"/>
      </w:pPr>
      <w:r>
        <w:t>Standard DocTypes Used</w:t>
      </w:r>
    </w:p>
    <w:p>
      <w:pPr>
        <w:pStyle w:val="ListBullet"/>
      </w:pPr>
      <w:r>
        <w:t>Customer, Contact, Address, User, Website User</w:t>
      </w:r>
    </w:p>
    <w:p>
      <w:pPr>
        <w:pStyle w:val="ListBullet"/>
      </w:pPr>
      <w:r>
        <w:t>File for all uploaded documents</w:t>
      </w:r>
    </w:p>
    <w:p>
      <w:pPr>
        <w:pStyle w:val="ListBullet"/>
      </w:pPr>
      <w:r>
        <w:t>Communication and Email Template for messaging</w:t>
      </w:r>
    </w:p>
    <w:p>
      <w:pPr>
        <w:pStyle w:val="ListBullet"/>
      </w:pPr>
      <w:r>
        <w:t>Item, Sales Invoice, Payment Entry, Payment Request, Mode of Payment for fees and payments</w:t>
      </w:r>
    </w:p>
    <w:p>
      <w:pPr>
        <w:pStyle w:val="ListBullet"/>
      </w:pPr>
      <w:r>
        <w:t>Company, Letter Head, Workflow, Role, Notification, ToDo, Dashboard Chart, Number Card</w:t>
      </w:r>
    </w:p>
    <w:p>
      <w:pPr>
        <w:pStyle w:val="Heading2"/>
      </w:pPr>
      <w:r>
        <w:t>Embassy-Specific DocTypes</w:t>
      </w:r>
    </w:p>
    <w:p>
      <w:r>
        <w:t>Embassy Settings, Consular Service, Consular Application, service detail extensions, document requirements, uploaded document review, appointments, fee rules, waivers, payment review, and dynamic form configuration.</w:t>
      </w:r>
    </w:p>
    <w:p>
      <w:pPr>
        <w:pStyle w:val="Heading2"/>
      </w:pPr>
      <w:r>
        <w:t>Upgrade Safety</w:t>
      </w:r>
    </w:p>
    <w:p>
      <w:r>
        <w:t xml:space="preserve">Custom logic lives in </w:t>
      </w:r>
      <w:r>
        <w:rPr>
          <w:rFonts w:ascii="Consolas" w:hAnsi="Consolas"/>
          <w:color w:val="144870"/>
          <w:sz w:val="19"/>
        </w:rPr>
        <w:t>embassy_management</w:t>
      </w:r>
      <w:r>
        <w:t>. Hooks use documented extension points: fixtures, scheduler events, permission query conditions, whitelisted methods, and DocType controllers.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Integration Audit Report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