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 Refactoring Plan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Phase 1</w:t>
      </w:r>
    </w:p>
    <w:p>
      <w:r>
        <w:t>Validate all DocTypes in a live Frappe v16 bench, export fixtures, and align JSON with the installed framework metadata.</w:t>
      </w:r>
    </w:p>
    <w:p>
      <w:pPr>
        <w:pStyle w:val="Heading2"/>
      </w:pPr>
      <w:r>
        <w:t>Phase 2</w:t>
      </w:r>
    </w:p>
    <w:p>
      <w:r>
        <w:t>Replace simple portal placeholders with full Frappe web templates or Vue/React assets if the mission requires richer client-side form logic.</w:t>
      </w:r>
    </w:p>
    <w:p>
      <w:pPr>
        <w:pStyle w:val="Heading2"/>
      </w:pPr>
      <w:r>
        <w:t>Phase 3</w:t>
      </w:r>
    </w:p>
    <w:p>
      <w:r>
        <w:t>Add external appointment provider adapters behind the Embassy Appointment API without changing the core appointment records.</w:t>
      </w:r>
    </w:p>
    <w:p>
      <w:pPr>
        <w:pStyle w:val="Heading2"/>
      </w:pPr>
      <w:r>
        <w:t>Phase 4</w:t>
      </w:r>
    </w:p>
    <w:p>
      <w:r>
        <w:t>Add payment gateway adapters using Payment Request and ERPNext payment gateway records.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 Refactoring Plan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