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Handover Guide</w:t>
      </w:r>
    </w:p>
    <w:p>
      <w:hyperlink r:id="rId10">
        <w:r>
          <w:rPr>
            <w:color w:val="144870"/>
            <w:u w:val="single"/>
          </w:rPr>
          <w:t>Powered by Viewertech</w:t>
        </w:r>
      </w:hyperlink>
    </w:p>
    <w:p>
      <w:pPr>
        <w:pStyle w:val="Heading2"/>
      </w:pPr>
      <w:r>
        <w:t>Administrator Handover</w:t>
      </w:r>
    </w:p>
    <w:p>
      <w:pPr>
        <w:pStyle w:val="ListBullet"/>
      </w:pPr>
      <w:r>
        <w:t>Configure Embassy Settings before enabling the public portal.</w:t>
      </w:r>
    </w:p>
    <w:p>
      <w:pPr>
        <w:pStyle w:val="ListBullet"/>
      </w:pPr>
      <w:r>
        <w:t>Replace placeholder branding with client-approved logo and emblem assets only.</w:t>
      </w:r>
    </w:p>
    <w:p>
      <w:pPr>
        <w:pStyle w:val="ListBullet"/>
      </w:pPr>
      <w:r>
        <w:t>Create ERPNext Items for each payable fee and link them from Consular Service or Consular Fee Rule.</w:t>
      </w:r>
    </w:p>
    <w:p>
      <w:pPr>
        <w:pStyle w:val="ListBullet"/>
      </w:pPr>
      <w:r>
        <w:t>Create Email Account and edit EMS email templates for each supported language.</w:t>
      </w:r>
    </w:p>
    <w:p>
      <w:pPr>
        <w:pStyle w:val="ListBullet"/>
      </w:pPr>
      <w:r>
        <w:t>Review workflows with mission leadership before activation.</w:t>
      </w:r>
    </w:p>
    <w:p>
      <w:pPr>
        <w:pStyle w:val="Heading2"/>
      </w:pPr>
      <w:r>
        <w:t>Officer Handover</w:t>
      </w:r>
    </w:p>
    <w:p>
      <w:r>
        <w:t>Officers work from Consular Application and Embassy Appointment queues. They should use Communication for applicant-facing messages and internal comments for private notes.</w:t>
      </w:r>
    </w:p>
    <w:p>
      <w:pPr>
        <w:pStyle w:val="Heading2"/>
      </w:pPr>
      <w:r>
        <w:t>Finance Handover</w:t>
      </w:r>
    </w:p>
    <w:p>
      <w:r>
        <w:t>Finance officers should confirm bank transfer proofs in Consular Payment Review and reconcile against Sales Invoice and Payment Entry.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Embassy Management ERPNext | </w:t>
    </w:r>
    <w:hyperlink r:id="rId1">
      <w:r>
        <w:rPr>
          <w:color w:val="144870"/>
          <w:u w:val="single"/>
        </w:rPr>
        <w:t>Powered by Viewertech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48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2A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85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448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MSCodeBlock">
    <w:name w:val="EMS Code Block"/>
    <w:pPr>
      <w:spacing w:before="40" w:after="40"/>
      <w:ind w:left="259" w:right="259"/>
    </w:pPr>
    <w:rPr>
      <w:rFonts w:ascii="Consolas" w:hAnsi="Consolas"/>
      <w:color w:val="17211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viewertech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viewertech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Handover Guide</dc:title>
  <dc:subject>Embassy Management ERPNext user guide</dc:subject>
  <dc:creator>Viewertech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