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Embassy Management ERPNext User Guides</w:t>
      </w:r>
    </w:p>
    <w:p>
      <w:hyperlink r:id="rId10">
        <w:r>
          <w:rPr>
            <w:color w:val="144870"/>
            <w:u w:val="single"/>
          </w:rPr>
          <w:t>Powered by Viewertech</w:t>
        </w:r>
      </w:hyperlink>
    </w:p>
    <w:p>
      <w:r>
        <w:t>These guides are written for embassy, high commission, consulate, and diplomatic mission pilot and production users. They separate standard ERPNext/Frappe operations from the Embassy Management extension layer.</w:t>
      </w:r>
    </w:p>
    <w:p>
      <w:pPr>
        <w:pStyle w:val="Heading2"/>
      </w:pPr>
      <w:r>
        <w:t>Which Guide To Use</w:t>
      </w:r>
    </w:p>
    <w:p>
      <w:pPr>
        <w:pStyle w:val="ListBullet"/>
      </w:pPr>
      <w:hyperlink r:id="rId11">
        <w:r>
          <w:rPr>
            <w:color w:val="144870"/>
            <w:u w:val="single"/>
          </w:rPr>
          <w:t>Applicant Portal Guide</w:t>
        </w:r>
      </w:hyperlink>
      <w:r>
        <w:t>: registration, requirements checks, applications, documents, appointments, payments, and tracking.</w:t>
      </w:r>
    </w:p>
    <w:p>
      <w:pPr>
        <w:pStyle w:val="ListBullet"/>
      </w:pPr>
      <w:hyperlink r:id="rId12">
        <w:r>
          <w:rPr>
            <w:color w:val="144870"/>
            <w:u w:val="single"/>
          </w:rPr>
          <w:t>Consular Officer Guide</w:t>
        </w:r>
      </w:hyperlink>
      <w:r>
        <w:t>: case queues, application review, document review, applicant messaging, decisions, and completion.</w:t>
      </w:r>
    </w:p>
    <w:p>
      <w:pPr>
        <w:pStyle w:val="ListBullet"/>
      </w:pPr>
      <w:hyperlink r:id="rId13">
        <w:r>
          <w:rPr>
            <w:color w:val="144870"/>
            <w:u w:val="single"/>
          </w:rPr>
          <w:t>Appointment Officer Guide</w:t>
        </w:r>
      </w:hyperlink>
      <w:r>
        <w:t>: appointment locations, service types, officer calendars, slots, bookings, rescheduling, cancellations, no-shows, walk-ins, and queues.</w:t>
      </w:r>
    </w:p>
    <w:p>
      <w:pPr>
        <w:pStyle w:val="ListBullet"/>
      </w:pPr>
      <w:hyperlink r:id="rId14">
        <w:r>
          <w:rPr>
            <w:color w:val="144870"/>
            <w:u w:val="single"/>
          </w:rPr>
          <w:t>Finance Officer Guide</w:t>
        </w:r>
      </w:hyperlink>
      <w:r>
        <w:t>: fee rules, Sales Invoices, Payment Entries, bank transfer proof, payment reviews, waivers, refunds, and revenue reports.</w:t>
      </w:r>
    </w:p>
    <w:p>
      <w:pPr>
        <w:pStyle w:val="ListBullet"/>
      </w:pPr>
      <w:hyperlink r:id="rId15">
        <w:r>
          <w:rPr>
            <w:color w:val="144870"/>
            <w:u w:val="single"/>
          </w:rPr>
          <w:t>Consular Supervisor and Head of Mission Guide</w:t>
        </w:r>
      </w:hyperlink>
      <w:r>
        <w:t>: approvals, escalations, dashboards, performance reporting, governance, and oversight.</w:t>
      </w:r>
    </w:p>
    <w:p>
      <w:pPr>
        <w:pStyle w:val="ListBullet"/>
      </w:pPr>
      <w:hyperlink r:id="rId16">
        <w:r>
          <w:rPr>
            <w:color w:val="144870"/>
            <w:u w:val="single"/>
          </w:rPr>
          <w:t>System Administrator Guide</w:t>
        </w:r>
      </w:hyperlink>
      <w:r>
        <w:t>: deployment operations, mission settings, branding, users, roles, backups, restore, updates, demo data, and security.</w:t>
      </w:r>
    </w:p>
    <w:p>
      <w:pPr>
        <w:pStyle w:val="Heading2"/>
      </w:pPr>
      <w:r>
        <w:t>Word Versions</w:t>
      </w:r>
    </w:p>
    <w:p>
      <w:r>
        <w:t>Client-ready Word versions of these staff guides are generated in:</w:t>
      </w:r>
    </w:p>
    <w:p>
      <w:pPr>
        <w:pStyle w:val="EMSCodeBlock"/>
        <w:shd w:fill="EEF4F8"/>
      </w:pPr>
      <w:r>
        <w:t>text</w:t>
      </w:r>
    </w:p>
    <w:p>
      <w:pPr>
        <w:pStyle w:val="EMSCodeBlock"/>
        <w:shd w:fill="EEF4F8"/>
      </w:pPr>
      <w:r>
        <w:t>docs/user-guides/docx</w:t>
      </w:r>
    </w:p>
    <w:p>
      <w:r>
        <w:t xml:space="preserve">After editing any Markdown guide, regenerate the Word documents. The same command also refreshes the top-level operational guide documents in </w:t>
      </w:r>
      <w:r>
        <w:rPr>
          <w:rFonts w:ascii="Consolas" w:hAnsi="Consolas"/>
          <w:color w:val="144870"/>
          <w:sz w:val="19"/>
        </w:rPr>
        <w:t>docs/docx</w:t>
      </w:r>
      <w:r>
        <w:t>.</w:t>
      </w:r>
    </w:p>
    <w:p>
      <w:pPr>
        <w:pStyle w:val="EMSCodeBlock"/>
        <w:shd w:fill="EEF4F8"/>
      </w:pPr>
      <w:r>
        <w:t>bash</w:t>
      </w:r>
    </w:p>
    <w:p>
      <w:pPr>
        <w:pStyle w:val="EMSCodeBlock"/>
        <w:shd w:fill="EEF4F8"/>
      </w:pPr>
      <w:r>
        <w:t>python scripts/generate-user-guide-docx.py</w:t>
      </w:r>
    </w:p>
    <w:p>
      <w:pPr>
        <w:pStyle w:val="Heading2"/>
      </w:pPr>
      <w:r>
        <w:t>Workspace Rule</w:t>
      </w:r>
    </w:p>
    <w:p>
      <w:r>
        <w:t xml:space="preserve">Use </w:t>
      </w:r>
      <w:r>
        <w:rPr>
          <w:b/>
        </w:rPr>
        <w:t>ERPNext/Frappe</w:t>
      </w:r>
      <w:r>
        <w:t xml:space="preserve"> for standard system-of-record operations:</w:t>
      </w:r>
    </w:p>
    <w:p>
      <w:pPr>
        <w:pStyle w:val="ListBullet"/>
      </w:pPr>
      <w:r>
        <w:t>Customer, Contact, Address, User, Website User</w:t>
      </w:r>
    </w:p>
    <w:p>
      <w:pPr>
        <w:pStyle w:val="ListBullet"/>
      </w:pPr>
      <w:r>
        <w:t>File, Communication, Email Template, Notification</w:t>
      </w:r>
    </w:p>
    <w:p>
      <w:pPr>
        <w:pStyle w:val="ListBullet"/>
      </w:pPr>
      <w:r>
        <w:t>Company, Item, Sales Invoice, Payment Entry, Payment Request, Mode of Payment</w:t>
      </w:r>
    </w:p>
    <w:p>
      <w:pPr>
        <w:pStyle w:val="ListBullet"/>
      </w:pPr>
      <w:r>
        <w:t>Role, Workflow, Workflow State, Workflow Action</w:t>
      </w:r>
    </w:p>
    <w:p>
      <w:pPr>
        <w:pStyle w:val="ListBullet"/>
      </w:pPr>
      <w:r>
        <w:t>Letter Head, Web Form, ToDo, Dashboard Chart, Number Card</w:t>
      </w:r>
    </w:p>
    <w:p>
      <w:r>
        <w:t xml:space="preserve">Use </w:t>
      </w:r>
      <w:r>
        <w:rPr>
          <w:b/>
        </w:rPr>
        <w:t>Embassy Management</w:t>
      </w:r>
      <w:r>
        <w:t xml:space="preserve"> for diplomatic mission controls:</w:t>
      </w:r>
    </w:p>
    <w:p>
      <w:pPr>
        <w:pStyle w:val="ListBullet"/>
      </w:pPr>
      <w:r>
        <w:t>Mission settings and public branding</w:t>
      </w:r>
    </w:p>
    <w:p>
      <w:pPr>
        <w:pStyle w:val="ListBullet"/>
      </w:pPr>
      <w:r>
        <w:t>Consular service catalogue</w:t>
      </w:r>
    </w:p>
    <w:p>
      <w:pPr>
        <w:pStyle w:val="ListBullet"/>
      </w:pPr>
      <w:r>
        <w:t>Consular applications and service-specific extensions</w:t>
      </w:r>
    </w:p>
    <w:p>
      <w:pPr>
        <w:pStyle w:val="ListBullet"/>
      </w:pPr>
      <w:r>
        <w:t>Dynamic application form templates and rules</w:t>
      </w:r>
    </w:p>
    <w:p>
      <w:pPr>
        <w:pStyle w:val="ListBullet"/>
      </w:pPr>
      <w:r>
        <w:t>Document requirements and officer review</w:t>
      </w:r>
    </w:p>
    <w:p>
      <w:pPr>
        <w:pStyle w:val="ListBullet"/>
      </w:pPr>
      <w:r>
        <w:t>Appointment slots, booking codes, and queue support</w:t>
      </w:r>
    </w:p>
    <w:p>
      <w:pPr>
        <w:pStyle w:val="ListBullet"/>
      </w:pPr>
      <w:r>
        <w:t>Consular fee rules, waivers, and payment review</w:t>
      </w:r>
    </w:p>
    <w:p>
      <w:pPr>
        <w:pStyle w:val="ListBullet"/>
      </w:pPr>
      <w:r>
        <w:t>Officer workbench, dashboards, and consular reports</w:t>
      </w:r>
    </w:p>
    <w:p>
      <w:pPr>
        <w:pStyle w:val="Heading2"/>
      </w:pPr>
      <w:r>
        <w:t>Demo Data</w:t>
      </w:r>
    </w:p>
    <w:p>
      <w:r>
        <w:t xml:space="preserve">For presentations, IT can load removable </w:t>
      </w:r>
      <w:r>
        <w:rPr>
          <w:rFonts w:ascii="Consolas" w:hAnsi="Consolas"/>
          <w:color w:val="144870"/>
          <w:sz w:val="19"/>
        </w:rPr>
        <w:t>EMSDEMO</w:t>
      </w:r>
      <w:r>
        <w:t xml:space="preserve"> records:</w:t>
      </w:r>
    </w:p>
    <w:p>
      <w:pPr>
        <w:pStyle w:val="EMSCodeBlock"/>
        <w:shd w:fill="EEF4F8"/>
      </w:pPr>
      <w:r>
        <w:t>bash</w:t>
      </w:r>
    </w:p>
    <w:p>
      <w:pPr>
        <w:pStyle w:val="EMSCodeBlock"/>
        <w:shd w:fill="EEF4F8"/>
      </w:pPr>
      <w:r>
        <w:t>./scripts/load-sample-data.sh</w:t>
      </w:r>
    </w:p>
    <w:p>
      <w:r>
        <w:t>After presenting, IT can remove the demo records:</w:t>
      </w:r>
    </w:p>
    <w:p>
      <w:pPr>
        <w:pStyle w:val="EMSCodeBlock"/>
        <w:shd w:fill="EEF4F8"/>
      </w:pPr>
      <w:r>
        <w:t>bash</w:t>
      </w:r>
    </w:p>
    <w:p>
      <w:pPr>
        <w:pStyle w:val="EMSCodeBlock"/>
        <w:shd w:fill="EEF4F8"/>
      </w:pPr>
      <w:r>
        <w:t>./scripts/clear-sample-data.sh</w:t>
      </w:r>
    </w:p>
    <w:p>
      <w:r>
        <w:t>Never load demo data into a live production site without written approval from the mission.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Embassy Management ERPNext | </w:t>
    </w:r>
    <w:hyperlink r:id="rId1">
      <w:r>
        <w:rPr>
          <w:color w:val="144870"/>
          <w:u w:val="single"/>
        </w:rPr>
        <w:t>Powered by Viewertech</w:t>
      </w:r>
    </w:hyperlink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487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2A3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785B1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4487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MSCodeBlock">
    <w:name w:val="EMS Code Block"/>
    <w:pPr>
      <w:spacing w:before="40" w:after="40"/>
      <w:ind w:left="259" w:right="259"/>
    </w:pPr>
    <w:rPr>
      <w:rFonts w:ascii="Consolas" w:hAnsi="Consolas"/>
      <w:color w:val="17211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viewertech.net" TargetMode="External"/><Relationship Id="rId11" Type="http://schemas.openxmlformats.org/officeDocument/2006/relationships/hyperlink" Target="applicant-portal-guide.md" TargetMode="External"/><Relationship Id="rId12" Type="http://schemas.openxmlformats.org/officeDocument/2006/relationships/hyperlink" Target="consular-officer-guide.md" TargetMode="External"/><Relationship Id="rId13" Type="http://schemas.openxmlformats.org/officeDocument/2006/relationships/hyperlink" Target="appointment-officer-guide.md" TargetMode="External"/><Relationship Id="rId14" Type="http://schemas.openxmlformats.org/officeDocument/2006/relationships/hyperlink" Target="finance-officer-guide.md" TargetMode="External"/><Relationship Id="rId15" Type="http://schemas.openxmlformats.org/officeDocument/2006/relationships/hyperlink" Target="supervisor-head-of-mission-guide.md" TargetMode="External"/><Relationship Id="rId16" Type="http://schemas.openxmlformats.org/officeDocument/2006/relationships/hyperlink" Target="system-administrator-guide.md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viewertech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Embassy Management ERPNext User Guides</dc:title>
  <dc:subject>Embassy Management ERPNext user guide</dc:subject>
  <dc:creator>Viewertech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