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gjpqg0tmfyom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11. PONTOS DE ACESSO WIRELESS — CONFIGURAÇÃO DETALHADA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9yz6lwji9m4t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11.1 Configuração dos APs via Omada Controller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Site: Visão Clara São Carlos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Controller: https://192.168.10.3:8088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AP-01 (Salão de Vendas):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Nome: AP-Salao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IP: 192.168.10.5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Modelo: EAP245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Canal 2.4 GHz: 1 (largura 20 MHz)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Canal 5 GHz: 36 (largura 80 MHz, modo VHT80)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Potência TX: Auto (limitado a 17 dBm)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Fast Roaming: Habilitado (802.11r)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AP-02 (Corredor/Fundo):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Nome: AP-Fundo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IP: 192.168.10.6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Modelo: EAP245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Canal 2.4 GHz: 11 (evitar sobreposição com AP-01)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Canal 5 GHz: 149 (evitar sobreposição com AP-01)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Potência TX: Auto (limitado a 17 dBm)</w:t>
      </w:r>
    </w:p>
    <w:p w:rsidR="00000000" w:rsidDel="00000000" w:rsidP="00000000" w:rsidRDefault="00000000" w:rsidRPr="00000000" w14:paraId="00000016">
      <w:pPr>
        <w:shd w:fill="ffffff" w:val="clear"/>
        <w:spacing w:after="320" w:line="411.42960000000005" w:lineRule="auto"/>
        <w:rPr>
          <w:rFonts w:ascii="Courier New" w:cs="Courier New" w:eastAsia="Courier New" w:hAnsi="Courier New"/>
          <w:color w:val="24292e"/>
          <w:sz w:val="17"/>
          <w:szCs w:val="17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17"/>
          <w:szCs w:val="17"/>
          <w:highlight w:val="white"/>
          <w:rtl w:val="0"/>
        </w:rPr>
        <w:t xml:space="preserve">  Fast Roaming: Habilitado (802.11r)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akmxc0qh44oo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11.2 Portal Cativo para Clientes</w:t>
      </w:r>
    </w:p>
    <w:p w:rsidR="00000000" w:rsidDel="00000000" w:rsidP="00000000" w:rsidRDefault="00000000" w:rsidRPr="00000000" w14:paraId="0000001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O portal cativo foi configurado no pfSense (pacote Captive Portal):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30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Página de boas-vindas personalizada com logo da Ótica Visão Clara;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Campo de aceite dos termos de uso (LGPD — Lei 13.709/2018);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Autenticação: sem senha (acesso livre após aceite dos termos);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Timeout de sessão: 4 horas (após isso, precisa aceitar os termos novamente);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before="0" w:beforeAutospacing="0" w:lineRule="auto"/>
        <w:ind w:left="720" w:hanging="360"/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Página de termos: informa que a rede é monitorada e é proibido uso para fins ilegais;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e2b29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