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Helvetica" w:cs="Helvetica" w:eastAsia="Helvetica" w:hAnsi="Helvetica"/>
          <w:b/>
          <w:bCs/>
          <w:color w:val="6F5845"/>
          <w:spacing w:val="140"/>
          <w:sz w:val="16"/>
          <w:szCs w:val="16"/>
        </w:rPr>
        <w:t xml:space="preserve">SHED  ·  PRIVATE</w:t>
      </w:r>
    </w:p>
    <w:p>
      <w:pPr>
        <w:pBdr>
          <w:bottom w:val="single" w:color="C9127B" w:sz="4" w:space="4"/>
        </w:pBdr>
        <w:spacing w:after="280" w:before="0"/>
      </w:pPr>
      <w:r>
        <w:t xml:space="preserve"/>
      </w:r>
    </w:p>
    <w:p>
      <w:pPr>
        <w:spacing w:after="40" w:before="0"/>
      </w:pPr>
      <w:r>
        <w:rPr>
          <w:rFonts w:ascii="Garamond" w:cs="Garamond" w:eastAsia="Garamond" w:hAnsi="Garamond"/>
          <w:i/>
          <w:iCs/>
          <w:color w:val="6F5845"/>
          <w:sz w:val="22"/>
          <w:szCs w:val="22"/>
        </w:rPr>
        <w:t xml:space="preserve">A Founders’ Agreement for</w:t>
      </w:r>
    </w:p>
    <w:p>
      <w:pPr>
        <w:spacing w:after="40" w:before="0"/>
      </w:pPr>
      <w:r>
        <w:rPr>
          <w:rFonts w:ascii="Garamond" w:cs="Garamond" w:eastAsia="Garamond" w:hAnsi="Garamond"/>
          <w:b w:val="false"/>
          <w:bCs w:val="false"/>
          <w:color w:val="2B1E14"/>
          <w:sz w:val="64"/>
          <w:szCs w:val="64"/>
        </w:rPr>
        <w:t xml:space="preserve">Very </w:t>
      </w:r>
      <w:r>
        <w:rPr>
          <w:rFonts w:ascii="Garamond" w:cs="Garamond" w:eastAsia="Garamond" w:hAnsi="Garamond"/>
          <w:i/>
          <w:iCs/>
          <w:color w:val="2B1E14"/>
          <w:sz w:val="64"/>
          <w:szCs w:val="64"/>
        </w:rPr>
        <w:t xml:space="preserve">Strong </w:t>
      </w:r>
      <w:r>
        <w:rPr>
          <w:rFonts w:ascii="Garamond" w:cs="Garamond" w:eastAsia="Garamond" w:hAnsi="Garamond"/>
          <w:i/>
          <w:iCs/>
          <w:color w:val="C9127B"/>
          <w:sz w:val="64"/>
          <w:szCs w:val="64"/>
        </w:rPr>
        <w:t xml:space="preserve">Gummy </w:t>
      </w:r>
      <w:r>
        <w:rPr>
          <w:rFonts w:ascii="Garamond" w:cs="Garamond" w:eastAsia="Garamond" w:hAnsi="Garamond"/>
          <w:color w:val="2B1E14"/>
          <w:sz w:val="64"/>
          <w:szCs w:val="64"/>
        </w:rPr>
        <w:t xml:space="preserve">Ventures</w:t>
      </w:r>
    </w:p>
    <w:p>
      <w:pPr>
        <w:spacing w:after="60" w:before="120"/>
      </w:pPr>
      <w:r>
        <w:rPr>
          <w:rFonts w:ascii="Garamond" w:cs="Garamond" w:eastAsia="Garamond" w:hAnsi="Garamond"/>
          <w:i/>
          <w:iCs/>
          <w:color w:val="6F5845"/>
          <w:sz w:val="22"/>
          <w:szCs w:val="22"/>
        </w:rPr>
        <w:t xml:space="preserve">Between Jillian Muller (the Rich Partner) and Luke Vigeant (the Poor Partner).</w:t>
      </w:r>
    </w:p>
    <w:p>
      <w:pPr>
        <w:spacing w:after="320" w:before="40"/>
      </w:pPr>
      <w:r>
        <w:rPr>
          <w:rFonts w:ascii="Helvetica" w:cs="Helvetica" w:eastAsia="Helvetica" w:hAnsi="Helvetica"/>
          <w:color w:val="6F5845"/>
          <w:sz w:val="18"/>
          <w:szCs w:val="18"/>
        </w:rPr>
        <w:t xml:space="preserve">Effective date: April 18, 2026    ·    Governing law: State of Delaware</w:t>
      </w:r>
    </w:p>
    <w:p>
      <w:pPr>
        <w:pBdr>
          <w:bottom w:val="single" w:color="D7C7A8" w:sz="6" w:space="1"/>
        </w:pBdr>
        <w:spacing w:after="80" w:before="80"/>
      </w:pPr>
      <w:r>
        <w:t xml:space="preserve"/>
      </w:r>
    </w:p>
    <w:p>
      <w:pPr>
        <w:spacing w:after="80" w:before="280"/>
      </w:pPr>
      <w:r>
        <w:rPr>
          <w:rFonts w:ascii="Helvetica" w:cs="Helvetica" w:eastAsia="Helvetica" w:hAnsi="Helvetica"/>
          <w:b/>
          <w:bCs/>
          <w:color w:val="C9127B"/>
          <w:spacing w:val="120"/>
          <w:sz w:val="16"/>
          <w:szCs w:val="16"/>
        </w:rPr>
        <w:t xml:space="preserve">THE SHAPE OF THIS THING</w:t>
      </w:r>
    </w:p>
    <w:p>
      <w:pPr>
        <w:spacing w:after="180" w:before="0" w:line="320"/>
        <w:jc w:val="left"/>
      </w:pPr>
      <w:r>
        <w:rPr>
          <w:rFonts w:ascii="Garamond" w:cs="Garamond" w:eastAsia="Garamond" w:hAnsi="Garamond"/>
          <w:b w:val="false"/>
          <w:bCs w:val="false"/>
          <w:i w:val="false"/>
          <w:iCs w:val="false"/>
          <w:color w:val="2B1E14"/>
          <w:sz w:val="22"/>
          <w:szCs w:val="22"/>
        </w:rPr>
        <w:t xml:space="preserve">VSGV is a vehicle for collaboration on new ventures — </w:t>
      </w:r>
      <w:r>
        <w:rPr>
          <w:rFonts w:ascii="Garamond" w:cs="Garamond" w:eastAsia="Garamond" w:hAnsi="Garamond"/>
          <w:b w:val="false"/>
          <w:bCs w:val="false"/>
          <w:i w:val="false"/>
          <w:iCs w:val="false"/>
          <w:color w:val="6F5845"/>
          <w:sz w:val="22"/>
          <w:szCs w:val="22"/>
        </w:rPr>
        <w:t xml:space="preserve">with the goal of putting the minimum amount of capital at risk to prove whether any given venture is actually possible, and actually works. </w:t>
      </w:r>
      <w:r>
        <w:rPr>
          <w:rFonts w:ascii="Garamond" w:cs="Garamond" w:eastAsia="Garamond" w:hAnsi="Garamond"/>
          <w:b w:val="false"/>
          <w:bCs w:val="false"/>
          <w:i w:val="false"/>
          <w:iCs w:val="false"/>
          <w:color w:val="6F5845"/>
          <w:sz w:val="22"/>
          <w:szCs w:val="22"/>
        </w:rPr>
        <w:t xml:space="preserve">It gives us the flexibility to keep working on new things on the back of both successes and failures, instead of wiring every idea to a brand-new company from scratch.</w:t>
      </w:r>
    </w:p>
    <w:p>
      <w:pPr>
        <w:spacing w:after="140" w:before="0" w:line="300"/>
        <w:jc w:val="left"/>
      </w:pPr>
      <w:r>
        <w:rPr>
          <w:rFonts w:ascii="Garamond" w:cs="Garamond" w:eastAsia="Garamond" w:hAnsi="Garamond"/>
          <w:b w:val="false"/>
          <w:bCs w:val="false"/>
          <w:i/>
          <w:iCs/>
          <w:color w:val="6F5845"/>
          <w:sz w:val="22"/>
          <w:szCs w:val="22"/>
        </w:rPr>
        <w:t xml:space="preserve">This document is written in plain English. Where it has legal effect, the language is intentional. Where it reads like two friends making a pact, that is also intentional.</w:t>
      </w:r>
    </w:p>
    <w:p>
      <w:pPr>
        <w:spacing w:after="140" w:before="340"/>
      </w:pPr>
      <w:r>
        <w:rPr>
          <w:rFonts w:ascii="Garamond" w:cs="Garamond" w:eastAsia="Garamond" w:hAnsi="Garamond"/>
          <w:i/>
          <w:iCs/>
          <w:color w:val="C9127B"/>
          <w:sz w:val="40"/>
          <w:szCs w:val="40"/>
        </w:rPr>
        <w:t xml:space="preserve">i.  </w:t>
      </w:r>
      <w:r>
        <w:rPr>
          <w:rFonts w:ascii="Garamond" w:cs="Garamond" w:eastAsia="Garamond" w:hAnsi="Garamond"/>
          <w:b w:val="false"/>
          <w:bCs w:val="false"/>
          <w:color w:val="2B1E14"/>
          <w:sz w:val="32"/>
          <w:szCs w:val="32"/>
        </w:rPr>
        <w:t xml:space="preserve">The Partnership</w:t>
      </w:r>
    </w:p>
    <w:p>
      <w:pPr>
        <w:spacing w:after="160" w:before="0" w:line="320"/>
      </w:pPr>
      <w:r>
        <w:rPr>
          <w:rFonts w:ascii="Garamond" w:cs="Garamond" w:eastAsia="Garamond" w:hAnsi="Garamond"/>
          <w:b/>
          <w:bCs/>
          <w:color w:val="2B1E14"/>
          <w:sz w:val="22"/>
          <w:szCs w:val="22"/>
        </w:rPr>
        <w:t xml:space="preserve">Parties.</w:t>
      </w:r>
      <w:r>
        <w:rPr>
          <w:rFonts w:ascii="Garamond" w:cs="Garamond" w:eastAsia="Garamond" w:hAnsi="Garamond"/>
          <w:sz w:val="22"/>
          <w:szCs w:val="22"/>
        </w:rPr>
        <w:t xml:space="preserve">  </w:t>
      </w:r>
      <w:r>
        <w:rPr>
          <w:rFonts w:ascii="Garamond" w:cs="Garamond" w:eastAsia="Garamond" w:hAnsi="Garamond"/>
          <w:color w:val="6F5845"/>
          <w:sz w:val="22"/>
          <w:szCs w:val="22"/>
        </w:rPr>
        <w:t xml:space="preserve">Jillian Muller of Montecito, California (the “Rich Partner”) and Luke Vigeant of Mississauga, Ontario (the “Poor Partner”). Together, the Partners.</w:t>
      </w:r>
    </w:p>
    <w:p>
      <w:pPr>
        <w:spacing w:after="160" w:before="0" w:line="320"/>
      </w:pPr>
      <w:r>
        <w:rPr>
          <w:rFonts w:ascii="Garamond" w:cs="Garamond" w:eastAsia="Garamond" w:hAnsi="Garamond"/>
          <w:b/>
          <w:bCs/>
          <w:color w:val="2B1E14"/>
          <w:sz w:val="22"/>
          <w:szCs w:val="22"/>
        </w:rPr>
        <w:t xml:space="preserve">Ownership of VSGV.</w:t>
      </w:r>
      <w:r>
        <w:rPr>
          <w:rFonts w:ascii="Garamond" w:cs="Garamond" w:eastAsia="Garamond" w:hAnsi="Garamond"/>
          <w:sz w:val="22"/>
          <w:szCs w:val="22"/>
        </w:rPr>
        <w:t xml:space="preserve">  </w:t>
      </w:r>
      <w:r>
        <w:rPr>
          <w:rFonts w:ascii="Garamond" w:cs="Garamond" w:eastAsia="Garamond" w:hAnsi="Garamond"/>
          <w:color w:val="6F5845"/>
          <w:sz w:val="22"/>
          <w:szCs w:val="22"/>
        </w:rPr>
        <w:t xml:space="preserve">Jillian and Luke each hold fifty percent (50%) of VSGV’s founder equity. This split carries into every sub-company formed under VSGV unless we agree in writing otherwise for a specific entity.</w:t>
      </w:r>
    </w:p>
    <w:p>
      <w:pPr>
        <w:spacing w:after="160" w:before="0" w:line="320"/>
      </w:pPr>
      <w:r>
        <w:rPr>
          <w:rFonts w:ascii="Garamond" w:cs="Garamond" w:eastAsia="Garamond" w:hAnsi="Garamond"/>
          <w:b/>
          <w:bCs/>
          <w:color w:val="2B1E14"/>
          <w:sz w:val="22"/>
          <w:szCs w:val="22"/>
        </w:rPr>
        <w:t xml:space="preserve">Best-efforts basis.</w:t>
      </w:r>
      <w:r>
        <w:rPr>
          <w:rFonts w:ascii="Garamond" w:cs="Garamond" w:eastAsia="Garamond" w:hAnsi="Garamond"/>
          <w:sz w:val="22"/>
          <w:szCs w:val="22"/>
        </w:rPr>
        <w:t xml:space="preserve">  </w:t>
      </w:r>
      <w:r>
        <w:rPr>
          <w:rFonts w:ascii="Garamond" w:cs="Garamond" w:eastAsia="Garamond" w:hAnsi="Garamond"/>
          <w:color w:val="6F5845"/>
          <w:sz w:val="22"/>
          <w:szCs w:val="22"/>
        </w:rPr>
        <w:t xml:space="preserve">Neither Partner is quitting their job. We each contribute as much time, energy, and attention as we reasonably can, given family, employment, and other commitments. There is no mandatory hour minimum, no salary, and no quit date.</w:t>
      </w:r>
    </w:p>
    <w:p>
      <w:pPr>
        <w:spacing w:after="160" w:before="0" w:line="320"/>
      </w:pPr>
      <w:r>
        <w:rPr>
          <w:rFonts w:ascii="Garamond" w:cs="Garamond" w:eastAsia="Garamond" w:hAnsi="Garamond"/>
          <w:b/>
          <w:bCs/>
          <w:color w:val="2B1E14"/>
          <w:sz w:val="22"/>
          <w:szCs w:val="22"/>
        </w:rPr>
        <w:t xml:space="preserve">No compensation until we say so.</w:t>
      </w:r>
      <w:r>
        <w:rPr>
          <w:rFonts w:ascii="Garamond" w:cs="Garamond" w:eastAsia="Garamond" w:hAnsi="Garamond"/>
          <w:sz w:val="22"/>
          <w:szCs w:val="22"/>
        </w:rPr>
        <w:t xml:space="preserve">  </w:t>
      </w:r>
      <w:r>
        <w:rPr>
          <w:rFonts w:ascii="Garamond" w:cs="Garamond" w:eastAsia="Garamond" w:hAnsi="Garamond"/>
          <w:color w:val="6F5845"/>
          <w:sz w:val="22"/>
          <w:szCs w:val="22"/>
        </w:rPr>
        <w:t xml:space="preserve">Neither Partner draws a salary, consulting fee, or other compensation from VSGV or any sub-company until both Partners agree in writing. We’re in sweat-equity mode until revenue or an external round makes it reasonable to change that.</w:t>
      </w:r>
    </w:p>
    <w:p>
      <w:pPr>
        <w:spacing w:after="140" w:before="340"/>
      </w:pPr>
      <w:r>
        <w:rPr>
          <w:rFonts w:ascii="Garamond" w:cs="Garamond" w:eastAsia="Garamond" w:hAnsi="Garamond"/>
          <w:i/>
          <w:iCs/>
          <w:color w:val="C9127B"/>
          <w:sz w:val="40"/>
          <w:szCs w:val="40"/>
        </w:rPr>
        <w:t xml:space="preserve">ii.  </w:t>
      </w:r>
      <w:r>
        <w:rPr>
          <w:rFonts w:ascii="Garamond" w:cs="Garamond" w:eastAsia="Garamond" w:hAnsi="Garamond"/>
          <w:b w:val="false"/>
          <w:bCs w:val="false"/>
          <w:color w:val="2B1E14"/>
          <w:sz w:val="32"/>
          <w:szCs w:val="32"/>
        </w:rPr>
        <w:t xml:space="preserve">Capital &amp; Conversion</w:t>
      </w:r>
    </w:p>
    <w:p>
      <w:pPr>
        <w:spacing w:after="160" w:before="0" w:line="320"/>
      </w:pPr>
      <w:r>
        <w:rPr>
          <w:rFonts w:ascii="Garamond" w:cs="Garamond" w:eastAsia="Garamond" w:hAnsi="Garamond"/>
          <w:b/>
          <w:bCs/>
          <w:color w:val="2B1E14"/>
          <w:sz w:val="22"/>
          <w:szCs w:val="22"/>
        </w:rPr>
        <w:t xml:space="preserve">Either Partner may lend.</w:t>
      </w:r>
      <w:r>
        <w:rPr>
          <w:rFonts w:ascii="Garamond" w:cs="Garamond" w:eastAsia="Garamond" w:hAnsi="Garamond"/>
          <w:sz w:val="22"/>
          <w:szCs w:val="22"/>
        </w:rPr>
        <w:t xml:space="preserve">  </w:t>
      </w:r>
      <w:r>
        <w:rPr>
          <w:rFonts w:ascii="Garamond" w:cs="Garamond" w:eastAsia="Garamond" w:hAnsi="Garamond"/>
          <w:color w:val="6F5845"/>
          <w:sz w:val="22"/>
          <w:szCs w:val="22"/>
        </w:rPr>
        <w:t xml:space="preserve">At their option, either Partner may contribute capital to VSGV. In practice, because Jillian is the Rich Partner and Luke is the Poor Partner, the lending Partner will most often be Jillian.</w:t>
      </w:r>
    </w:p>
    <w:p>
      <w:pPr>
        <w:spacing w:after="160" w:before="0" w:line="320"/>
      </w:pPr>
      <w:r>
        <w:rPr>
          <w:rFonts w:ascii="Garamond" w:cs="Garamond" w:eastAsia="Garamond" w:hAnsi="Garamond"/>
          <w:b/>
          <w:bCs/>
          <w:color w:val="2B1E14"/>
          <w:sz w:val="22"/>
          <w:szCs w:val="22"/>
        </w:rPr>
        <w:t xml:space="preserve">Expenses may convert to debt.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Out-of-pocket expenses incurred by a Partner on behalf of VSGV or any sub-company may, by mutual agreement, be reclassified as a loan from that Partner and added to their debt balance.</w:t>
      </w:r>
    </w:p>
    <w:p>
      <w:pPr>
        <w:spacing w:after="160" w:before="0" w:line="320"/>
      </w:pPr>
      <w:r>
        <w:rPr>
          <w:rFonts w:ascii="Garamond" w:cs="Garamond" w:eastAsia="Garamond" w:hAnsi="Garamond"/>
          <w:b/>
          <w:bCs/>
          <w:color w:val="2B1E14"/>
          <w:sz w:val="22"/>
          <w:szCs w:val="22"/>
        </w:rPr>
        <w:t xml:space="preserve">Treatment as debt.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Partner contributions sit on VSGV’s balance sheet as debt — not equity — until a conversion event occurs or the debt is repaid.</w:t>
      </w:r>
    </w:p>
    <w:p>
      <w:pPr>
        <w:spacing w:after="160" w:before="0" w:line="320"/>
      </w:pPr>
      <w:r>
        <w:rPr>
          <w:rFonts w:ascii="Garamond" w:cs="Garamond" w:eastAsia="Garamond" w:hAnsi="Garamond"/>
          <w:b/>
          <w:bCs/>
          <w:color w:val="2B1E14"/>
          <w:sz w:val="22"/>
          <w:szCs w:val="22"/>
        </w:rPr>
        <w:t xml:space="preserve">Conversion at $1,000,000.</w:t>
      </w:r>
      <w:r>
        <w:rPr>
          <w:rFonts w:ascii="Garamond" w:cs="Garamond" w:eastAsia="Garamond" w:hAnsi="Garamond"/>
          <w:sz w:val="22"/>
          <w:szCs w:val="22"/>
        </w:rPr>
        <w:t xml:space="preserve">  </w:t>
      </w:r>
      <w:r>
        <w:rPr>
          <w:rFonts w:ascii="Garamond" w:cs="Garamond" w:eastAsia="Garamond" w:hAnsi="Garamond"/>
          <w:color w:val="6F5845"/>
          <w:sz w:val="22"/>
          <w:szCs w:val="22"/>
        </w:rPr>
        <w:t xml:space="preserve">When a sub-company is incorporated, any Partner’s outstanding loan balance may be converted into shares of that sub-company at a fixed post-money valuation of one million US dollars (US $1,000,000).</w:t>
      </w:r>
    </w:p>
    <w:p>
      <w:pPr>
        <w:spacing w:after="160" w:before="0" w:line="320"/>
      </w:pPr>
      <w:r>
        <w:rPr>
          <w:rFonts w:ascii="Garamond" w:cs="Garamond" w:eastAsia="Garamond" w:hAnsi="Garamond"/>
          <w:b/>
          <w:bCs/>
          <w:color w:val="2B1E14"/>
          <w:sz w:val="22"/>
          <w:szCs w:val="22"/>
        </w:rPr>
        <w:t xml:space="preserve">Worked example.</w:t>
      </w:r>
      <w:r>
        <w:rPr>
          <w:rFonts w:ascii="Garamond" w:cs="Garamond" w:eastAsia="Garamond" w:hAnsi="Garamond"/>
          <w:sz w:val="22"/>
          <w:szCs w:val="22"/>
        </w:rPr>
        <w:t xml:space="preserve">  </w:t>
      </w:r>
      <w:r>
        <w:rPr>
          <w:rFonts w:ascii="Garamond" w:cs="Garamond" w:eastAsia="Garamond" w:hAnsi="Garamond"/>
          <w:color w:val="6F5845"/>
          <w:sz w:val="22"/>
          <w:szCs w:val="22"/>
        </w:rPr>
        <w:t xml:space="preserve">If Jillian has lent US $100,000 to VSGV and elects to convert into the newly formed Hot Girls, Inc., she receives ten percent (10%) of Hot Girls directly ($100,000 ÷ $1,000,000).</w:t>
      </w:r>
    </w:p>
    <w:tbl>
      <w:tblPr>
        <w:tblW w:type="dxa" w:w="9360"/>
        <w:tblBorders>
          <w:top w:val="single" w:color="D7C7A8" w:sz="4"/>
          <w:left w:val="single" w:color="C9127B" w:sz="18"/>
          <w:bottom w:val="single" w:color="D7C7A8" w:sz="4"/>
          <w:right w:val="none" w:color="FFFFFF" w:sz="0"/>
          <w:insideH w:val="none" w:color="FFFFFF" w:sz="0"/>
          <w:insideV w:val="none" w:color="FFFFFF" w:sz="0"/>
        </w:tblBorders>
      </w:tblPr>
      <w:tblGrid>
        <w:gridCol w:w="9360"/>
      </w:tblGrid>
      <w:tr>
        <w:tc>
          <w:tcPr>
            <w:tcW w:type="dxa" w:w="9360"/>
            <w:shd w:fill="FFFBF2" w:val="clear"/>
            <w:tcMar>
              <w:top w:type="dxa" w:w="220"/>
              <w:left w:type="dxa" w:w="320"/>
              <w:bottom w:type="dxa" w:w="220"/>
              <w:right w:type="dxa" w:w="260"/>
            </w:tcMar>
          </w:tcPr>
          <w:p>
            <w:pPr>
              <w:spacing w:after="80" w:before="0"/>
            </w:pPr>
            <w:r>
              <w:rPr>
                <w:rFonts w:ascii="Helvetica" w:cs="Helvetica" w:eastAsia="Helvetica" w:hAnsi="Helvetica"/>
                <w:b/>
                <w:bCs/>
                <w:color w:val="C9127B"/>
                <w:spacing w:val="140"/>
                <w:sz w:val="16"/>
                <w:szCs w:val="16"/>
              </w:rPr>
              <w:t xml:space="preserve">HOT GIRLS, INC. — POST-SPIN CAP TABLE</w:t>
            </w:r>
          </w:p>
          <w:p>
            <w:pPr>
              <w:spacing w:after="60" w:before="0"/>
            </w:pPr>
            <w:r>
              <w:rPr>
                <w:rFonts w:ascii="Garamond" w:cs="Garamond" w:eastAsia="Garamond" w:hAnsi="Garamond"/>
                <w:b/>
                <w:bCs/>
                <w:color w:val="2B1E14"/>
                <w:sz w:val="22"/>
                <w:szCs w:val="22"/>
              </w:rPr>
              <w:t xml:space="preserve">VSGV holding: </w:t>
            </w:r>
            <w:r>
              <w:rPr>
                <w:rFonts w:ascii="Garamond" w:cs="Garamond" w:eastAsia="Garamond" w:hAnsi="Garamond"/>
                <w:color w:val="6F5845"/>
                <w:sz w:val="22"/>
                <w:szCs w:val="22"/>
              </w:rPr>
              <w:t xml:space="preserve">60% — the studio’s stake in the venture.</w:t>
            </w:r>
          </w:p>
          <w:p>
            <w:pPr>
              <w:spacing w:after="60" w:before="0"/>
            </w:pPr>
            <w:r>
              <w:rPr>
                <w:rFonts w:ascii="Garamond" w:cs="Garamond" w:eastAsia="Garamond" w:hAnsi="Garamond"/>
                <w:b/>
                <w:bCs/>
                <w:color w:val="2B1E14"/>
                <w:sz w:val="22"/>
                <w:szCs w:val="22"/>
              </w:rPr>
              <w:t xml:space="preserve">ESOP reserve: </w:t>
            </w:r>
            <w:r>
              <w:rPr>
                <w:rFonts w:ascii="Garamond" w:cs="Garamond" w:eastAsia="Garamond" w:hAnsi="Garamond"/>
                <w:color w:val="6F5845"/>
                <w:sz w:val="22"/>
                <w:szCs w:val="22"/>
              </w:rPr>
              <w:t xml:space="preserve">up to 30% — options for the operators who actually run the venture.</w:t>
            </w:r>
          </w:p>
          <w:p>
            <w:pPr>
              <w:spacing w:after="80" w:before="0"/>
            </w:pPr>
            <w:r>
              <w:rPr>
                <w:rFonts w:ascii="Garamond" w:cs="Garamond" w:eastAsia="Garamond" w:hAnsi="Garamond"/>
                <w:b/>
                <w:bCs/>
                <w:color w:val="2B1E14"/>
                <w:sz w:val="22"/>
                <w:szCs w:val="22"/>
              </w:rPr>
              <w:t xml:space="preserve">Jillian, direct: </w:t>
            </w:r>
            <w:r>
              <w:rPr>
                <w:rFonts w:ascii="Garamond" w:cs="Garamond" w:eastAsia="Garamond" w:hAnsi="Garamond"/>
                <w:color w:val="6F5845"/>
                <w:sz w:val="22"/>
                <w:szCs w:val="22"/>
              </w:rPr>
              <w:t xml:space="preserve">10% — from converting US $100,000 at a $1M post-money valuation.</w:t>
            </w:r>
          </w:p>
          <w:p>
            <w:pPr>
              <w:spacing w:after="0" w:before="80"/>
            </w:pPr>
            <w:r>
              <w:rPr>
                <w:rFonts w:ascii="Garamond" w:cs="Garamond" w:eastAsia="Garamond" w:hAnsi="Garamond"/>
                <w:i/>
                <w:iCs/>
                <w:color w:val="6F5845"/>
                <w:sz w:val="20"/>
                <w:szCs w:val="20"/>
              </w:rPr>
              <w:t xml:space="preserve">Effective look-through: Jillian 40% (30% via VSGV + 10% direct) · Luke 30% (via VSGV) · ESOP 30%.</w:t>
            </w:r>
          </w:p>
        </w:tc>
      </w:tr>
    </w:tbl>
    <w:p>
      <w:pPr>
        <w:spacing w:after="0" w:before="160"/>
      </w:pPr>
      <w:r>
        <w:t xml:space="preserve"/>
      </w:r>
    </w:p>
    <w:p>
      <w:pPr>
        <w:spacing w:after="160" w:before="0" w:line="320"/>
      </w:pPr>
      <w:r>
        <w:rPr>
          <w:rFonts w:ascii="Garamond" w:cs="Garamond" w:eastAsia="Garamond" w:hAnsi="Garamond"/>
          <w:b/>
          <w:bCs/>
          <w:color w:val="2B1E14"/>
          <w:sz w:val="22"/>
          <w:szCs w:val="22"/>
        </w:rPr>
        <w:t xml:space="preserve">If a venture fails.</w:t>
      </w:r>
      <w:r>
        <w:rPr>
          <w:rFonts w:ascii="Garamond" w:cs="Garamond" w:eastAsia="Garamond" w:hAnsi="Garamond"/>
          <w:sz w:val="22"/>
          <w:szCs w:val="22"/>
        </w:rPr>
        <w:t xml:space="preserve">  </w:t>
      </w:r>
      <w:r>
        <w:rPr>
          <w:rFonts w:ascii="Garamond" w:cs="Garamond" w:eastAsia="Garamond" w:hAnsi="Garamond"/>
          <w:color w:val="6F5845"/>
          <w:sz w:val="22"/>
          <w:szCs w:val="22"/>
        </w:rPr>
        <w:t xml:space="preserve">Any unconverted loan balance remains as debt on VSGV’s balance sheet. That debt is serviced in full before any distributions are made to shareholders from any future venture. The vehicle keeps playing; the lending Partner’s capital stays protected.</w:t>
      </w:r>
    </w:p>
    <w:p>
      <w:pPr>
        <w:spacing w:after="160" w:before="0" w:line="320"/>
      </w:pPr>
      <w:r>
        <w:rPr>
          <w:rFonts w:ascii="Garamond" w:cs="Garamond" w:eastAsia="Garamond" w:hAnsi="Garamond"/>
          <w:b/>
          <w:bCs/>
          <w:color w:val="2B1E14"/>
          <w:sz w:val="22"/>
          <w:szCs w:val="22"/>
        </w:rPr>
        <w:t xml:space="preserve">Pro-rata dilution.</w:t>
      </w:r>
      <w:r>
        <w:rPr>
          <w:rFonts w:ascii="Garamond" w:cs="Garamond" w:eastAsia="Garamond" w:hAnsi="Garamond"/>
          <w:sz w:val="22"/>
          <w:szCs w:val="22"/>
        </w:rPr>
        <w:t xml:space="preserve">  </w:t>
      </w:r>
      <w:r>
        <w:rPr>
          <w:rFonts w:ascii="Garamond" w:cs="Garamond" w:eastAsia="Garamond" w:hAnsi="Garamond"/>
          <w:color w:val="6F5845"/>
          <w:sz w:val="22"/>
          <w:szCs w:val="22"/>
        </w:rPr>
        <w:t xml:space="preserve">Converted loans, ESOP reserves, and any later financings dilute all existing shareholders pro-rata. Both Partners accept this as a fair trade for the capital infusion and the risk borne by the lending Partner.</w:t>
      </w:r>
    </w:p>
    <w:p>
      <w:pPr>
        <w:spacing w:after="160" w:before="0" w:line="320"/>
      </w:pPr>
      <w:r>
        <w:rPr>
          <w:rFonts w:ascii="Garamond" w:cs="Garamond" w:eastAsia="Garamond" w:hAnsi="Garamond"/>
          <w:b/>
          <w:bCs/>
          <w:color w:val="2B1E14"/>
          <w:sz w:val="22"/>
          <w:szCs w:val="22"/>
        </w:rPr>
        <w:t xml:space="preserve">Documentation.</w:t>
      </w:r>
      <w:r>
        <w:rPr>
          <w:rFonts w:ascii="Garamond" w:cs="Garamond" w:eastAsia="Garamond" w:hAnsi="Garamond"/>
          <w:sz w:val="22"/>
          <w:szCs w:val="22"/>
        </w:rPr>
        <w:t xml:space="preserve">  </w:t>
      </w:r>
      <w:r>
        <w:rPr>
          <w:rFonts w:ascii="Garamond" w:cs="Garamond" w:eastAsia="Garamond" w:hAnsi="Garamond"/>
          <w:color w:val="6F5845"/>
          <w:sz w:val="22"/>
          <w:szCs w:val="22"/>
        </w:rPr>
        <w:t xml:space="preserve">All loans, expense-to-debt conversions, and share issuances are documented in writing, with amount, date, and the entity to which the capital is attributed. Both Partners have access to the books.</w:t>
      </w:r>
    </w:p>
    <w:p>
      <w:pPr>
        <w:spacing w:after="140" w:before="340"/>
      </w:pPr>
      <w:r>
        <w:rPr>
          <w:rFonts w:ascii="Garamond" w:cs="Garamond" w:eastAsia="Garamond" w:hAnsi="Garamond"/>
          <w:i/>
          <w:iCs/>
          <w:color w:val="C9127B"/>
          <w:sz w:val="40"/>
          <w:szCs w:val="40"/>
        </w:rPr>
        <w:t xml:space="preserve">iii.  </w:t>
      </w:r>
      <w:r>
        <w:rPr>
          <w:rFonts w:ascii="Garamond" w:cs="Garamond" w:eastAsia="Garamond" w:hAnsi="Garamond"/>
          <w:b w:val="false"/>
          <w:bCs w:val="false"/>
          <w:color w:val="2B1E14"/>
          <w:sz w:val="32"/>
          <w:szCs w:val="32"/>
        </w:rPr>
        <w:t xml:space="preserve">Sub-Companies</w:t>
      </w:r>
    </w:p>
    <w:p>
      <w:pPr>
        <w:spacing w:after="160" w:before="0" w:line="320"/>
      </w:pPr>
      <w:r>
        <w:rPr>
          <w:rFonts w:ascii="Garamond" w:cs="Garamond" w:eastAsia="Garamond" w:hAnsi="Garamond"/>
          <w:b/>
          <w:bCs/>
          <w:color w:val="2B1E14"/>
          <w:sz w:val="22"/>
          <w:szCs w:val="22"/>
        </w:rPr>
        <w:t xml:space="preserve">VSGV owns 100% at formation.</w:t>
      </w:r>
      <w:r>
        <w:rPr>
          <w:rFonts w:ascii="Garamond" w:cs="Garamond" w:eastAsia="Garamond" w:hAnsi="Garamond"/>
          <w:sz w:val="22"/>
          <w:szCs w:val="22"/>
        </w:rPr>
        <w:t xml:space="preserve">  </w:t>
      </w:r>
      <w:r>
        <w:rPr>
          <w:rFonts w:ascii="Garamond" w:cs="Garamond" w:eastAsia="Garamond" w:hAnsi="Garamond"/>
          <w:color w:val="6F5845"/>
          <w:sz w:val="22"/>
          <w:szCs w:val="22"/>
        </w:rPr>
        <w:t xml:space="preserve">When a new sub-company is incorporated out of market-validation work, VSGV holds all of its equity on day one. Any Partner-level direct ownership arises only through loan conversion (as described above) or a later agreed issuance.</w:t>
      </w:r>
    </w:p>
    <w:p>
      <w:pPr>
        <w:spacing w:after="160" w:before="0" w:line="320"/>
      </w:pPr>
      <w:r>
        <w:rPr>
          <w:rFonts w:ascii="Garamond" w:cs="Garamond" w:eastAsia="Garamond" w:hAnsi="Garamond"/>
          <w:b/>
          <w:bCs/>
          <w:color w:val="2B1E14"/>
          <w:sz w:val="22"/>
          <w:szCs w:val="22"/>
        </w:rPr>
        <w:t xml:space="preserve">ESOP up to 30%.</w:t>
      </w:r>
      <w:r>
        <w:rPr>
          <w:rFonts w:ascii="Garamond" w:cs="Garamond" w:eastAsia="Garamond" w:hAnsi="Garamond"/>
          <w:sz w:val="22"/>
          <w:szCs w:val="22"/>
        </w:rPr>
        <w:t xml:space="preserve">  </w:t>
      </w:r>
      <w:r>
        <w:rPr>
          <w:rFonts w:ascii="Garamond" w:cs="Garamond" w:eastAsia="Garamond" w:hAnsi="Garamond"/>
          <w:color w:val="6F5845"/>
          <w:sz w:val="22"/>
          <w:szCs w:val="22"/>
        </w:rPr>
        <w:t xml:space="preserve">Each sub-company may reserve up to thirty percent (30%) of its fully-diluted equity for an Employee Stock Option Plan, issued to the operators who actually run that business.</w:t>
      </w:r>
    </w:p>
    <w:p>
      <w:pPr>
        <w:spacing w:after="160" w:before="0" w:line="320"/>
      </w:pPr>
      <w:r>
        <w:rPr>
          <w:rFonts w:ascii="Garamond" w:cs="Garamond" w:eastAsia="Garamond" w:hAnsi="Garamond"/>
          <w:b/>
          <w:bCs/>
          <w:color w:val="2B1E14"/>
          <w:sz w:val="22"/>
          <w:szCs w:val="22"/>
        </w:rPr>
        <w:t xml:space="preserve">Grants decided jointly.</w:t>
      </w:r>
      <w:r>
        <w:rPr>
          <w:rFonts w:ascii="Garamond" w:cs="Garamond" w:eastAsia="Garamond" w:hAnsi="Garamond"/>
          <w:sz w:val="22"/>
          <w:szCs w:val="22"/>
        </w:rPr>
        <w:t xml:space="preserve">  </w:t>
      </w:r>
      <w:r>
        <w:rPr>
          <w:rFonts w:ascii="Garamond" w:cs="Garamond" w:eastAsia="Garamond" w:hAnsi="Garamond"/>
          <w:color w:val="6F5845"/>
          <w:sz w:val="22"/>
          <w:szCs w:val="22"/>
        </w:rPr>
        <w:t xml:space="preserve">Until a sub-company has an independent board, grants from the ESOP are decided jointly by Jillian and Luke. Once a board exists, that board governs.</w:t>
      </w:r>
    </w:p>
    <w:p>
      <w:pPr>
        <w:spacing w:after="140" w:before="340"/>
      </w:pPr>
      <w:r>
        <w:rPr>
          <w:rFonts w:ascii="Garamond" w:cs="Garamond" w:eastAsia="Garamond" w:hAnsi="Garamond"/>
          <w:i/>
          <w:iCs/>
          <w:color w:val="C9127B"/>
          <w:sz w:val="40"/>
          <w:szCs w:val="40"/>
        </w:rPr>
        <w:t xml:space="preserve">iv.  </w:t>
      </w:r>
      <w:r>
        <w:rPr>
          <w:rFonts w:ascii="Garamond" w:cs="Garamond" w:eastAsia="Garamond" w:hAnsi="Garamond"/>
          <w:b w:val="false"/>
          <w:bCs w:val="false"/>
          <w:color w:val="2B1E14"/>
          <w:sz w:val="32"/>
          <w:szCs w:val="32"/>
        </w:rPr>
        <w:t xml:space="preserve">The Operator Option</w:t>
      </w:r>
    </w:p>
    <w:p>
      <w:pPr>
        <w:spacing w:after="160" w:before="0" w:line="320"/>
      </w:pPr>
      <w:r>
        <w:rPr>
          <w:rFonts w:ascii="Garamond" w:cs="Garamond" w:eastAsia="Garamond" w:hAnsi="Garamond"/>
          <w:b/>
          <w:bCs/>
          <w:color w:val="2B1E14"/>
          <w:sz w:val="22"/>
          <w:szCs w:val="22"/>
        </w:rPr>
        <w:t xml:space="preserve">Either Partner may choose to operate.</w:t>
      </w:r>
      <w:r>
        <w:rPr>
          <w:rFonts w:ascii="Garamond" w:cs="Garamond" w:eastAsia="Garamond" w:hAnsi="Garamond"/>
          <w:sz w:val="22"/>
          <w:szCs w:val="22"/>
        </w:rPr>
        <w:t xml:space="preserve">  </w:t>
      </w:r>
      <w:r>
        <w:rPr>
          <w:rFonts w:ascii="Garamond" w:cs="Garamond" w:eastAsia="Garamond" w:hAnsi="Garamond"/>
          <w:color w:val="6F5845"/>
          <w:sz w:val="22"/>
          <w:szCs w:val="22"/>
        </w:rPr>
        <w:t xml:space="preserve">If at any point either Partner wants to leave their day job and actually run one of VSGV’s sub-companies, they may do so.</w:t>
      </w:r>
    </w:p>
    <w:p>
      <w:pPr>
        <w:spacing w:after="160" w:before="0" w:line="320"/>
      </w:pPr>
      <w:r>
        <w:rPr>
          <w:rFonts w:ascii="Garamond" w:cs="Garamond" w:eastAsia="Garamond" w:hAnsi="Garamond"/>
          <w:b/>
          <w:bCs/>
          <w:color w:val="2B1E14"/>
          <w:sz w:val="22"/>
          <w:szCs w:val="22"/>
        </w:rPr>
        <w:t xml:space="preserve">Terms negotiated at the time.</w:t>
      </w:r>
      <w:r>
        <w:rPr>
          <w:rFonts w:ascii="Garamond" w:cs="Garamond" w:eastAsia="Garamond" w:hAnsi="Garamond"/>
          <w:sz w:val="22"/>
          <w:szCs w:val="22"/>
        </w:rPr>
        <w:t xml:space="preserve">  </w:t>
      </w:r>
      <w:r>
        <w:rPr>
          <w:rFonts w:ascii="Garamond" w:cs="Garamond" w:eastAsia="Garamond" w:hAnsi="Garamond"/>
          <w:color w:val="6F5845"/>
          <w:sz w:val="22"/>
          <w:szCs w:val="22"/>
        </w:rPr>
        <w:t xml:space="preserve">Compensation, additional equity, vesting, and the mechanics of handing over that role will be negotiated between the Partners when the moment arises. Neither of us is bound to a pre-set operator package today, because neither of us knows today which venture (if any) will be worth that leap.</w:t>
      </w:r>
    </w:p>
    <w:p>
      <w:pPr>
        <w:spacing w:after="140" w:before="340"/>
      </w:pPr>
      <w:r>
        <w:rPr>
          <w:rFonts w:ascii="Garamond" w:cs="Garamond" w:eastAsia="Garamond" w:hAnsi="Garamond"/>
          <w:i/>
          <w:iCs/>
          <w:color w:val="C9127B"/>
          <w:sz w:val="40"/>
          <w:szCs w:val="40"/>
        </w:rPr>
        <w:t xml:space="preserve">v.  </w:t>
      </w:r>
      <w:r>
        <w:rPr>
          <w:rFonts w:ascii="Garamond" w:cs="Garamond" w:eastAsia="Garamond" w:hAnsi="Garamond"/>
          <w:b w:val="false"/>
          <w:bCs w:val="false"/>
          <w:color w:val="2B1E14"/>
          <w:sz w:val="32"/>
          <w:szCs w:val="32"/>
        </w:rPr>
        <w:t xml:space="preserve">Cadence &amp; Commitment</w:t>
      </w:r>
    </w:p>
    <w:p>
      <w:pPr>
        <w:spacing w:after="160" w:before="0" w:line="320"/>
      </w:pPr>
      <w:r>
        <w:rPr>
          <w:rFonts w:ascii="Garamond" w:cs="Garamond" w:eastAsia="Garamond" w:hAnsi="Garamond"/>
          <w:b/>
          <w:bCs/>
          <w:color w:val="2B1E14"/>
          <w:sz w:val="22"/>
          <w:szCs w:val="22"/>
        </w:rPr>
        <w:t xml:space="preserve">One call a month, minimum.</w:t>
      </w:r>
      <w:r>
        <w:rPr>
          <w:rFonts w:ascii="Garamond" w:cs="Garamond" w:eastAsia="Garamond" w:hAnsi="Garamond"/>
          <w:sz w:val="22"/>
          <w:szCs w:val="22"/>
        </w:rPr>
        <w:t xml:space="preserve">  </w:t>
      </w:r>
      <w:r>
        <w:rPr>
          <w:rFonts w:ascii="Garamond" w:cs="Garamond" w:eastAsia="Garamond" w:hAnsi="Garamond"/>
          <w:color w:val="6F5845"/>
          <w:sz w:val="22"/>
          <w:szCs w:val="22"/>
        </w:rPr>
        <w:t xml:space="preserve">We hold a standing Partner call at least once a month — thirty minutes is enough — to make decisions, trade progress, and pick what we’re working on next. Async communication between calls is expected.</w:t>
      </w:r>
    </w:p>
    <w:p>
      <w:pPr>
        <w:spacing w:after="160" w:before="0" w:line="320"/>
      </w:pPr>
      <w:r>
        <w:rPr>
          <w:rFonts w:ascii="Garamond" w:cs="Garamond" w:eastAsia="Garamond" w:hAnsi="Garamond"/>
          <w:b/>
          <w:bCs/>
          <w:color w:val="2B1E14"/>
          <w:sz w:val="22"/>
          <w:szCs w:val="22"/>
        </w:rPr>
        <w:t xml:space="preserve">No mandatory in-person cadence.</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There is no required in-person meeting schedule. If and when we want to work together in person, we will — but it is not a condition of the Partnership.</w:t>
      </w:r>
    </w:p>
    <w:p>
      <w:pPr>
        <w:spacing w:after="160" w:before="0" w:line="320"/>
      </w:pPr>
      <w:r>
        <w:rPr>
          <w:rFonts w:ascii="Garamond" w:cs="Garamond" w:eastAsia="Garamond" w:hAnsi="Garamond"/>
          <w:b/>
          <w:bCs/>
          <w:color w:val="2B1E14"/>
          <w:sz w:val="22"/>
          <w:szCs w:val="22"/>
        </w:rPr>
        <w:t xml:space="preserve">Major decisions are joint.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Material decisions for VSGV or any sub-company (pivoting a thesis, taking on meaningful debt, hiring or firing a key operator, committing to a large expenditure) require both Partners’ consent. With a 50/50 split, we operate by consensus.</w:t>
      </w:r>
    </w:p>
    <w:p>
      <w:pPr>
        <w:spacing w:after="140" w:before="340"/>
      </w:pPr>
      <w:r>
        <w:rPr>
          <w:rFonts w:ascii="Garamond" w:cs="Garamond" w:eastAsia="Garamond" w:hAnsi="Garamond"/>
          <w:i/>
          <w:iCs/>
          <w:color w:val="C9127B"/>
          <w:sz w:val="40"/>
          <w:szCs w:val="40"/>
        </w:rPr>
        <w:t xml:space="preserve">vi.  </w:t>
      </w:r>
      <w:r>
        <w:rPr>
          <w:rFonts w:ascii="Garamond" w:cs="Garamond" w:eastAsia="Garamond" w:hAnsi="Garamond"/>
          <w:b w:val="false"/>
          <w:bCs w:val="false"/>
          <w:color w:val="2B1E14"/>
          <w:sz w:val="32"/>
          <w:szCs w:val="32"/>
        </w:rPr>
        <w:t xml:space="preserve">Discretion</w:t>
      </w:r>
    </w:p>
    <w:p>
      <w:pPr>
        <w:spacing w:after="160" w:before="0" w:line="320"/>
      </w:pPr>
      <w:r>
        <w:rPr>
          <w:rFonts w:ascii="Garamond" w:cs="Garamond" w:eastAsia="Garamond" w:hAnsi="Garamond"/>
          <w:b/>
          <w:bCs/>
          <w:color w:val="2B1E14"/>
          <w:sz w:val="22"/>
          <w:szCs w:val="22"/>
        </w:rPr>
        <w:t xml:space="preserve">Keep it quiet.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Details of VSGV, its sub-companies, the Partners’ involvement, and this Agreement are confidential. We do not disclose them to outside parties — employers, employees, media, investors, or otherwise — without both Partners’ written consent.</w:t>
      </w:r>
    </w:p>
    <w:p>
      <w:pPr>
        <w:spacing w:after="160" w:before="0" w:line="320"/>
      </w:pPr>
      <w:r>
        <w:rPr>
          <w:rFonts w:ascii="Garamond" w:cs="Garamond" w:eastAsia="Garamond" w:hAnsi="Garamond"/>
          <w:b/>
          <w:bCs/>
          <w:color w:val="2B1E14"/>
          <w:sz w:val="22"/>
          <w:szCs w:val="22"/>
        </w:rPr>
        <w:t xml:space="preserve">Protect Luke’s day job.</w:t>
      </w:r>
      <w:r>
        <w:rPr>
          <w:rFonts w:ascii="Garamond" w:cs="Garamond" w:eastAsia="Garamond" w:hAnsi="Garamond"/>
          <w:sz w:val="22"/>
          <w:szCs w:val="22"/>
        </w:rPr>
        <w:t xml:space="preserve">  </w:t>
      </w:r>
      <w:r>
        <w:rPr>
          <w:rFonts w:ascii="Garamond" w:cs="Garamond" w:eastAsia="Garamond" w:hAnsi="Garamond"/>
          <w:color w:val="6F5845"/>
          <w:sz w:val="22"/>
          <w:szCs w:val="22"/>
        </w:rPr>
        <w:t xml:space="preserve">Luke currently holds outside employment that could be put at risk if his involvement in VSGV became known to the wrong parties. Neither Partner will discuss VSGV, or Luke’s role in it, in a way that could reasonably be expected to endanger that employment.</w:t>
      </w:r>
    </w:p>
    <w:p>
      <w:pPr>
        <w:spacing w:after="160" w:before="0" w:line="320"/>
      </w:pPr>
      <w:r>
        <w:rPr>
          <w:rFonts w:ascii="Garamond" w:cs="Garamond" w:eastAsia="Garamond" w:hAnsi="Garamond"/>
          <w:b/>
          <w:bCs/>
          <w:color w:val="2B1E14"/>
          <w:sz w:val="22"/>
          <w:szCs w:val="22"/>
        </w:rPr>
        <w:t xml:space="preserve">Duration.</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These confidentiality and discretion obligations begin on the Effective Date and continue indefinitely, even if one Partner later exits, until the relevant information becomes public through no breach of this Agreement.</w:t>
      </w:r>
    </w:p>
    <w:p>
      <w:pPr>
        <w:spacing w:after="140" w:before="340"/>
      </w:pPr>
      <w:r>
        <w:rPr>
          <w:rFonts w:ascii="Garamond" w:cs="Garamond" w:eastAsia="Garamond" w:hAnsi="Garamond"/>
          <w:i/>
          <w:iCs/>
          <w:color w:val="C9127B"/>
          <w:sz w:val="40"/>
          <w:szCs w:val="40"/>
        </w:rPr>
        <w:t xml:space="preserve">vii.  </w:t>
      </w:r>
      <w:r>
        <w:rPr>
          <w:rFonts w:ascii="Garamond" w:cs="Garamond" w:eastAsia="Garamond" w:hAnsi="Garamond"/>
          <w:b w:val="false"/>
          <w:bCs w:val="false"/>
          <w:color w:val="2B1E14"/>
          <w:sz w:val="32"/>
          <w:szCs w:val="32"/>
        </w:rPr>
        <w:t xml:space="preserve">Intellectual Property</w:t>
      </w:r>
    </w:p>
    <w:p>
      <w:pPr>
        <w:spacing w:after="160" w:before="0" w:line="320"/>
      </w:pPr>
      <w:r>
        <w:rPr>
          <w:rFonts w:ascii="Garamond" w:cs="Garamond" w:eastAsia="Garamond" w:hAnsi="Garamond"/>
          <w:b/>
          <w:bCs/>
          <w:color w:val="2B1E14"/>
          <w:sz w:val="22"/>
          <w:szCs w:val="22"/>
        </w:rPr>
        <w:t xml:space="preserve">Belongs to the venture.</w:t>
      </w:r>
      <w:r>
        <w:rPr>
          <w:rFonts w:ascii="Garamond" w:cs="Garamond" w:eastAsia="Garamond" w:hAnsi="Garamond"/>
          <w:sz w:val="22"/>
          <w:szCs w:val="22"/>
        </w:rPr>
        <w:t xml:space="preserve">  </w:t>
      </w:r>
      <w:r>
        <w:rPr>
          <w:rFonts w:ascii="Garamond" w:cs="Garamond" w:eastAsia="Garamond" w:hAnsi="Garamond"/>
          <w:color w:val="6F5845"/>
          <w:sz w:val="22"/>
          <w:szCs w:val="22"/>
        </w:rPr>
        <w:t xml:space="preserve">Any intellectual property created by either Partner for VSGV or any sub-company — code, designs, brands, trade secrets, know-how, contracts, product formulations — is assigned to the relevant entity (or to VSGV until a sub-company exists).</w:t>
      </w:r>
    </w:p>
    <w:p>
      <w:pPr>
        <w:spacing w:after="160" w:before="0" w:line="320"/>
      </w:pPr>
      <w:r>
        <w:rPr>
          <w:rFonts w:ascii="Garamond" w:cs="Garamond" w:eastAsia="Garamond" w:hAnsi="Garamond"/>
          <w:b/>
          <w:bCs/>
          <w:color w:val="2B1E14"/>
          <w:sz w:val="22"/>
          <w:szCs w:val="22"/>
        </w:rPr>
        <w:t xml:space="preserve">No stowaway IP.</w:t>
      </w:r>
      <w:r>
        <w:rPr>
          <w:rFonts w:ascii="Garamond" w:cs="Garamond" w:eastAsia="Garamond" w:hAnsi="Garamond"/>
          <w:sz w:val="22"/>
          <w:szCs w:val="22"/>
        </w:rPr>
        <w:t xml:space="preserve">  </w:t>
      </w:r>
      <w:r>
        <w:rPr>
          <w:rFonts w:ascii="Garamond" w:cs="Garamond" w:eastAsia="Garamond" w:hAnsi="Garamond"/>
          <w:color w:val="6F5845"/>
          <w:sz w:val="22"/>
          <w:szCs w:val="22"/>
        </w:rPr>
        <w:t xml:space="preserve">Neither Partner will knowingly bring in third-party IP without permission. Each Partner represents that, to the best of their knowledge, contributed work does not infringe anyone else’s rights.</w:t>
      </w:r>
    </w:p>
    <w:p>
      <w:pPr>
        <w:spacing w:after="160" w:before="0" w:line="320"/>
      </w:pPr>
      <w:r>
        <w:rPr>
          <w:rFonts w:ascii="Garamond" w:cs="Garamond" w:eastAsia="Garamond" w:hAnsi="Garamond"/>
          <w:b/>
          <w:bCs/>
          <w:color w:val="2B1E14"/>
          <w:sz w:val="22"/>
          <w:szCs w:val="22"/>
        </w:rPr>
        <w:t xml:space="preserve">Stays with the venture on exit.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If a Partner leaves before a given sub-company is formed, any IP they created for that venture remains with VSGV.</w:t>
      </w:r>
    </w:p>
    <w:p>
      <w:pPr>
        <w:spacing w:after="140" w:before="340"/>
      </w:pPr>
      <w:r>
        <w:rPr>
          <w:rFonts w:ascii="Garamond" w:cs="Garamond" w:eastAsia="Garamond" w:hAnsi="Garamond"/>
          <w:i/>
          <w:iCs/>
          <w:color w:val="C9127B"/>
          <w:sz w:val="40"/>
          <w:szCs w:val="40"/>
        </w:rPr>
        <w:t xml:space="preserve">viii.  </w:t>
      </w:r>
      <w:r>
        <w:rPr>
          <w:rFonts w:ascii="Garamond" w:cs="Garamond" w:eastAsia="Garamond" w:hAnsi="Garamond"/>
          <w:b w:val="false"/>
          <w:bCs w:val="false"/>
          <w:color w:val="2B1E14"/>
          <w:sz w:val="32"/>
          <w:szCs w:val="32"/>
        </w:rPr>
        <w:t xml:space="preserve">The Fun Clause</w:t>
      </w:r>
    </w:p>
    <w:p>
      <w:pPr>
        <w:spacing w:after="160" w:before="0" w:line="320"/>
      </w:pPr>
      <w:r>
        <w:rPr>
          <w:rFonts w:ascii="Garamond" w:cs="Garamond" w:eastAsia="Garamond" w:hAnsi="Garamond"/>
          <w:b/>
          <w:bCs/>
          <w:color w:val="2B1E14"/>
          <w:sz w:val="22"/>
          <w:szCs w:val="22"/>
        </w:rPr>
        <w:t xml:space="preserve">It has to be fun.</w:t>
      </w:r>
      <w:r>
        <w:rPr>
          <w:rFonts w:ascii="Garamond" w:cs="Garamond" w:eastAsia="Garamond" w:hAnsi="Garamond"/>
          <w:sz w:val="22"/>
          <w:szCs w:val="22"/>
        </w:rPr>
        <w:t xml:space="preserve">  </w:t>
      </w:r>
      <w:r>
        <w:rPr>
          <w:rFonts w:ascii="Garamond" w:cs="Garamond" w:eastAsia="Garamond" w:hAnsi="Garamond"/>
          <w:color w:val="6F5845"/>
          <w:sz w:val="22"/>
          <w:szCs w:val="22"/>
        </w:rPr>
        <w:t xml:space="preserve">We are building this as an adventure that we choose to spend time on together. If the partnership stops being fun for either Partner, the two of us will stop and renegotiate in good faith before we continue. This rule outranks all the others.</w:t>
      </w:r>
    </w:p>
    <w:p>
      <w:pPr>
        <w:spacing w:after="160" w:before="0" w:line="320"/>
      </w:pPr>
      <w:r>
        <w:rPr>
          <w:rFonts w:ascii="Garamond" w:cs="Garamond" w:eastAsia="Garamond" w:hAnsi="Garamond"/>
          <w:b/>
          <w:bCs/>
          <w:color w:val="2B1E14"/>
          <w:sz w:val="22"/>
          <w:szCs w:val="22"/>
        </w:rPr>
        <w:t xml:space="preserve">No jerks.</w:t>
      </w:r>
      <w:r>
        <w:rPr>
          <w:rFonts w:ascii="Garamond" w:cs="Garamond" w:eastAsia="Garamond" w:hAnsi="Garamond"/>
          <w:sz w:val="22"/>
          <w:szCs w:val="22"/>
        </w:rPr>
        <w:t xml:space="preserve">  </w:t>
      </w:r>
      <w:r>
        <w:rPr>
          <w:rFonts w:ascii="Garamond" w:cs="Garamond" w:eastAsia="Garamond" w:hAnsi="Garamond"/>
          <w:color w:val="6F5845"/>
          <w:sz w:val="22"/>
          <w:szCs w:val="22"/>
        </w:rPr>
        <w:t xml:space="preserve">Building anything is hard. Being hard on each other is optional, and we are declining it.</w:t>
      </w:r>
    </w:p>
    <w:p>
      <w:pPr>
        <w:spacing w:after="140" w:before="340"/>
      </w:pPr>
      <w:r>
        <w:rPr>
          <w:rFonts w:ascii="Garamond" w:cs="Garamond" w:eastAsia="Garamond" w:hAnsi="Garamond"/>
          <w:i/>
          <w:iCs/>
          <w:color w:val="C9127B"/>
          <w:sz w:val="40"/>
          <w:szCs w:val="40"/>
        </w:rPr>
        <w:t xml:space="preserve">ix.  </w:t>
      </w:r>
      <w:r>
        <w:rPr>
          <w:rFonts w:ascii="Garamond" w:cs="Garamond" w:eastAsia="Garamond" w:hAnsi="Garamond"/>
          <w:b w:val="false"/>
          <w:bCs w:val="false"/>
          <w:color w:val="2B1E14"/>
          <w:sz w:val="32"/>
          <w:szCs w:val="32"/>
        </w:rPr>
        <w:t xml:space="preserve">Dispute Resolution</w:t>
      </w:r>
    </w:p>
    <w:p>
      <w:pPr>
        <w:spacing w:after="160" w:before="0" w:line="320"/>
      </w:pPr>
      <w:r>
        <w:rPr>
          <w:rFonts w:ascii="Garamond" w:cs="Garamond" w:eastAsia="Garamond" w:hAnsi="Garamond"/>
          <w:b/>
          <w:bCs/>
          <w:color w:val="2B1E14"/>
          <w:sz w:val="22"/>
          <w:szCs w:val="22"/>
        </w:rPr>
        <w:t xml:space="preserve">Talk first.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When we disagree, the first step is always a conversation — in good faith, with the assumption that both Partners want what’s best for the vehicle and for each other.</w:t>
      </w:r>
    </w:p>
    <w:p>
      <w:pPr>
        <w:spacing w:after="160" w:before="0" w:line="320"/>
      </w:pPr>
      <w:r>
        <w:rPr>
          <w:rFonts w:ascii="Garamond" w:cs="Garamond" w:eastAsia="Garamond" w:hAnsi="Garamond"/>
          <w:b/>
          <w:bCs/>
          <w:color w:val="2B1E14"/>
          <w:sz w:val="22"/>
          <w:szCs w:val="22"/>
        </w:rPr>
        <w:t xml:space="preserve">Mediator: Santiago.</w:t>
      </w:r>
      <w:r>
        <w:rPr>
          <w:rFonts w:ascii="Garamond" w:cs="Garamond" w:eastAsia="Garamond" w:hAnsi="Garamond"/>
          <w:sz w:val="22"/>
          <w:szCs w:val="22"/>
        </w:rPr>
        <w:t xml:space="preserve">  </w:t>
      </w:r>
      <w:r>
        <w:rPr>
          <w:rFonts w:ascii="Garamond" w:cs="Garamond" w:eastAsia="Garamond" w:hAnsi="Garamond"/>
          <w:color w:val="6F5845"/>
          <w:sz w:val="22"/>
          <w:szCs w:val="22"/>
        </w:rPr>
        <w:t xml:space="preserve">If we reach an impasse, we agree to seek a neutral third-party mediator before any other action. The preferred mediator is Santiago Martinez de la Torre. Either Partner may initiate mediation; the other will participate in good faith. Mediation costs are shared equally.</w:t>
      </w:r>
    </w:p>
    <w:p>
      <w:pPr>
        <w:spacing w:after="160" w:before="0" w:line="320"/>
      </w:pPr>
      <w:r>
        <w:rPr>
          <w:rFonts w:ascii="Garamond" w:cs="Garamond" w:eastAsia="Garamond" w:hAnsi="Garamond"/>
          <w:b/>
          <w:bCs/>
          <w:color w:val="2B1E14"/>
          <w:sz w:val="22"/>
          <w:szCs w:val="22"/>
        </w:rPr>
        <w:t xml:space="preserve">No rush to court.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We will not initiate litigation over this Agreement before attempting mediation. In a time-sensitive deadlock, we will agree on a provisional workaround that keeps the vehicle moving while we sort out the permanent resolution.</w:t>
      </w:r>
    </w:p>
    <w:p>
      <w:pPr>
        <w:spacing w:after="140" w:before="340"/>
      </w:pPr>
      <w:r>
        <w:rPr>
          <w:rFonts w:ascii="Garamond" w:cs="Garamond" w:eastAsia="Garamond" w:hAnsi="Garamond"/>
          <w:i/>
          <w:iCs/>
          <w:color w:val="C9127B"/>
          <w:sz w:val="40"/>
          <w:szCs w:val="40"/>
        </w:rPr>
        <w:t xml:space="preserve">x.  </w:t>
      </w:r>
      <w:r>
        <w:rPr>
          <w:rFonts w:ascii="Garamond" w:cs="Garamond" w:eastAsia="Garamond" w:hAnsi="Garamond"/>
          <w:b w:val="false"/>
          <w:bCs w:val="false"/>
          <w:color w:val="2B1E14"/>
          <w:sz w:val="32"/>
          <w:szCs w:val="32"/>
        </w:rPr>
        <w:t xml:space="preserve">Miscellaneous</w:t>
      </w:r>
    </w:p>
    <w:p>
      <w:pPr>
        <w:spacing w:after="160" w:before="0" w:line="320"/>
      </w:pPr>
      <w:r>
        <w:rPr>
          <w:rFonts w:ascii="Garamond" w:cs="Garamond" w:eastAsia="Garamond" w:hAnsi="Garamond"/>
          <w:b/>
          <w:bCs/>
          <w:color w:val="2B1E14"/>
          <w:sz w:val="22"/>
          <w:szCs w:val="22"/>
        </w:rPr>
        <w:t xml:space="preserve">Entire agreement.</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This document is the entire agreement between the Partners on the matters it covers, and supersedes any prior understandings. Amendments must be in writing and signed by both Partners.</w:t>
      </w:r>
    </w:p>
    <w:p>
      <w:pPr>
        <w:spacing w:after="160" w:before="0" w:line="320"/>
      </w:pPr>
      <w:r>
        <w:rPr>
          <w:rFonts w:ascii="Garamond" w:cs="Garamond" w:eastAsia="Garamond" w:hAnsi="Garamond"/>
          <w:b/>
          <w:bCs/>
          <w:color w:val="2B1E14"/>
          <w:sz w:val="22"/>
          <w:szCs w:val="22"/>
        </w:rPr>
        <w:t xml:space="preserve">Severability.</w:t>
      </w:r>
      <w:r>
        <w:rPr>
          <w:rFonts w:ascii="Garamond" w:cs="Garamond" w:eastAsia="Garamond" w:hAnsi="Garamond"/>
          <w:sz w:val="22"/>
          <w:szCs w:val="22"/>
        </w:rPr>
        <w:t xml:space="preserve">  </w:t>
      </w:r>
      <w:r>
        <w:rPr>
          <w:rFonts w:ascii="Garamond" w:cs="Garamond" w:eastAsia="Garamond" w:hAnsi="Garamond"/>
          <w:color w:val="6F5845"/>
          <w:sz w:val="22"/>
          <w:szCs w:val="22"/>
        </w:rPr>
        <w:t xml:space="preserve">If any provision is found unenforceable, the rest still stands. The offending provision is modified to best reflect the original intent.</w:t>
      </w:r>
    </w:p>
    <w:p>
      <w:pPr>
        <w:spacing w:after="160" w:before="0" w:line="320"/>
      </w:pPr>
      <w:r>
        <w:rPr>
          <w:rFonts w:ascii="Garamond" w:cs="Garamond" w:eastAsia="Garamond" w:hAnsi="Garamond"/>
          <w:b/>
          <w:bCs/>
          <w:color w:val="2B1E14"/>
          <w:sz w:val="22"/>
          <w:szCs w:val="22"/>
        </w:rPr>
        <w:t xml:space="preserve">Not employment, not a technical partnership.</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This Agreement does not make the Partners employees of each other, nor does it create a technical legal partnership. Once sub-companies are formed, formal bylaws and stock agreements will be put in place; this document guides that setup.</w:t>
      </w:r>
    </w:p>
    <w:p>
      <w:pPr>
        <w:spacing w:after="160" w:before="0" w:line="320"/>
      </w:pPr>
      <w:r>
        <w:rPr>
          <w:rFonts w:ascii="Garamond" w:cs="Garamond" w:eastAsia="Garamond" w:hAnsi="Garamond"/>
          <w:b/>
          <w:bCs/>
          <w:color w:val="2B1E14"/>
          <w:sz w:val="22"/>
          <w:szCs w:val="22"/>
        </w:rPr>
        <w:t xml:space="preserve">Governing law.</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This Agreement is governed by the laws of the State of Delaware, USA.</w:t>
      </w:r>
    </w:p>
    <w:p>
      <w:pPr>
        <w:spacing w:after="160" w:before="0" w:line="320"/>
      </w:pPr>
      <w:r>
        <w:rPr>
          <w:rFonts w:ascii="Garamond" w:cs="Garamond" w:eastAsia="Garamond" w:hAnsi="Garamond"/>
          <w:b/>
          <w:bCs/>
          <w:color w:val="2B1E14"/>
          <w:sz w:val="22"/>
          <w:szCs w:val="22"/>
        </w:rPr>
        <w:t xml:space="preserve">Tone.</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The conversational tone is intentional, so that both Partners actually understand what they are signing. It does not diminish the legal effect.</w:t>
      </w:r>
    </w:p>
    <w:p>
      <w:pPr>
        <w:spacing w:after="160" w:before="0" w:line="320"/>
      </w:pPr>
      <w:r>
        <w:rPr>
          <w:rFonts w:ascii="Garamond" w:cs="Garamond" w:eastAsia="Garamond" w:hAnsi="Garamond"/>
          <w:b/>
          <w:bCs/>
          <w:color w:val="2B1E14"/>
          <w:sz w:val="22"/>
          <w:szCs w:val="22"/>
        </w:rPr>
        <w:t xml:space="preserve">Counterparts &amp; electronic signatures.</w:t>
      </w:r>
      <w:r>
        <w:rPr>
          <w:rFonts w:ascii="Garamond" w:cs="Garamond" w:eastAsia="Garamond" w:hAnsi="Garamond"/>
          <w:sz w:val="22"/>
          <w:szCs w:val="22"/>
        </w:rPr>
        <w:t xml:space="preserve">  </w:t>
      </w:r>
      <w:r>
        <w:rPr>
          <w:rFonts w:ascii="Garamond" w:cs="Garamond" w:eastAsia="Garamond" w:hAnsi="Garamond"/>
          <w:color w:val="6F5845"/>
          <w:sz w:val="22"/>
          <w:szCs w:val="22"/>
        </w:rPr>
        <w:t xml:space="preserve">This Agreement may be signed in counterparts. An electronic signature has the same force as an original. The Effective Date stands regardless of when signatures are executed.</w:t>
      </w:r>
    </w:p>
    <w:p>
      <w:pPr>
        <w:pBdr>
          <w:top w:val="single" w:color="C9127B" w:sz="4" w:space="4"/>
        </w:pBdr>
        <w:spacing w:after="0" w:before="360"/>
      </w:pPr>
      <w:r>
        <w:t xml:space="preserve"/>
      </w:r>
    </w:p>
    <w:p>
      <w:pPr>
        <w:spacing w:after="40" w:before="240"/>
      </w:pPr>
      <w:r>
        <w:rPr>
          <w:rFonts w:ascii="Helvetica" w:cs="Helvetica" w:eastAsia="Helvetica" w:hAnsi="Helvetica"/>
          <w:b/>
          <w:bCs/>
          <w:color w:val="C9127B"/>
          <w:spacing w:val="200"/>
          <w:sz w:val="18"/>
          <w:szCs w:val="18"/>
        </w:rPr>
        <w:t xml:space="preserve">SIGNATURES</w:t>
      </w:r>
    </w:p>
    <w:p>
      <w:pPr>
        <w:spacing w:after="400" w:before="0"/>
      </w:pPr>
      <w:r>
        <w:rPr>
          <w:rFonts w:ascii="Garamond" w:cs="Garamond" w:eastAsia="Garamond" w:hAnsi="Garamond"/>
          <w:i/>
          <w:iCs/>
          <w:color w:val="6F5845"/>
          <w:sz w:val="22"/>
          <w:szCs w:val="22"/>
        </w:rPr>
        <w:t xml:space="preserve">Each Partner signs below to acknowledge that they have read, understood, and agreed to the terms above.</w:t>
      </w:r>
    </w:p>
    <w:p>
      <w:pPr>
        <w:spacing w:after="0" w:before="0"/>
      </w:pPr>
      <w:r>
        <w:rPr>
          <w:rFonts w:ascii="Garamond" w:cs="Garamond" w:eastAsia="Garamond" w:hAnsi="Garamond"/>
          <w:b/>
          <w:bCs/>
          <w:color w:val="2B1E14"/>
          <w:sz w:val="24"/>
          <w:szCs w:val="24"/>
        </w:rPr>
        <w:t xml:space="preserve">Jillian Muller  </w:t>
      </w:r>
      <w:r>
        <w:rPr>
          <w:rFonts w:ascii="Garamond" w:cs="Garamond" w:eastAsia="Garamond" w:hAnsi="Garamond"/>
          <w:i/>
          <w:iCs/>
          <w:color w:val="6F5845"/>
          <w:sz w:val="22"/>
          <w:szCs w:val="22"/>
        </w:rPr>
        <w:t xml:space="preserve">(the Rich Partner)</w:t>
      </w:r>
    </w:p>
    <w:p>
      <w:pPr>
        <w:pBdr>
          <w:top w:val="single" w:color="2B1E14" w:sz="6" w:space="2"/>
        </w:pBdr>
        <w:spacing w:after="0" w:before="420"/>
      </w:pPr>
      <w:r>
        <w:t xml:space="preserve"/>
      </w:r>
    </w:p>
    <w:p>
      <w:pPr>
        <w:tabs>
          <w:tab w:val="right" w:pos="9360"/>
        </w:tabs>
        <w:spacing w:after="240" w:before="40"/>
      </w:pPr>
      <w:r>
        <w:rPr>
          <w:rFonts w:ascii="Helvetica" w:cs="Helvetica" w:eastAsia="Helvetica" w:hAnsi="Helvetica"/>
          <w:color w:val="6F5845"/>
          <w:spacing w:val="120"/>
          <w:sz w:val="16"/>
          <w:szCs w:val="16"/>
        </w:rPr>
        <w:t xml:space="preserve">Signature</w:t>
      </w:r>
      <w:r>
        <w:rPr>
          <w:rFonts w:ascii="Helvetica" w:cs="Helvetica" w:eastAsia="Helvetica" w:hAnsi="Helvetica"/>
          <w:sz w:val="16"/>
          <w:szCs w:val="16"/>
        </w:rPr>
        <w:t xml:space="preserve">	</w:t>
      </w:r>
      <w:r>
        <w:rPr>
          <w:rFonts w:ascii="Helvetica" w:cs="Helvetica" w:eastAsia="Helvetica" w:hAnsi="Helvetica"/>
          <w:color w:val="6F5845"/>
          <w:spacing w:val="120"/>
          <w:sz w:val="16"/>
          <w:szCs w:val="16"/>
        </w:rPr>
        <w:t xml:space="preserve">Date</w:t>
      </w:r>
    </w:p>
    <w:p>
      <w:pPr>
        <w:spacing w:after="0" w:before="240"/>
      </w:pPr>
      <w:r>
        <w:rPr>
          <w:rFonts w:ascii="Garamond" w:cs="Garamond" w:eastAsia="Garamond" w:hAnsi="Garamond"/>
          <w:b/>
          <w:bCs/>
          <w:color w:val="2B1E14"/>
          <w:sz w:val="24"/>
          <w:szCs w:val="24"/>
        </w:rPr>
        <w:t xml:space="preserve">Luke Vigeant  </w:t>
      </w:r>
      <w:r>
        <w:rPr>
          <w:rFonts w:ascii="Garamond" w:cs="Garamond" w:eastAsia="Garamond" w:hAnsi="Garamond"/>
          <w:i/>
          <w:iCs/>
          <w:color w:val="6F5845"/>
          <w:sz w:val="22"/>
          <w:szCs w:val="22"/>
        </w:rPr>
        <w:t xml:space="preserve">(the Poor Partner)</w:t>
      </w:r>
    </w:p>
    <w:p>
      <w:pPr>
        <w:pBdr>
          <w:top w:val="single" w:color="2B1E14" w:sz="6" w:space="2"/>
        </w:pBdr>
        <w:spacing w:after="0" w:before="420"/>
      </w:pPr>
      <w:r>
        <w:t xml:space="preserve"/>
      </w:r>
    </w:p>
    <w:p>
      <w:pPr>
        <w:tabs>
          <w:tab w:val="right" w:pos="9360"/>
        </w:tabs>
        <w:spacing w:after="0" w:before="40"/>
      </w:pPr>
      <w:r>
        <w:rPr>
          <w:rFonts w:ascii="Helvetica" w:cs="Helvetica" w:eastAsia="Helvetica" w:hAnsi="Helvetica"/>
          <w:color w:val="6F5845"/>
          <w:spacing w:val="120"/>
          <w:sz w:val="16"/>
          <w:szCs w:val="16"/>
        </w:rPr>
        <w:t xml:space="preserve">Signature</w:t>
      </w:r>
      <w:r>
        <w:rPr>
          <w:rFonts w:ascii="Helvetica" w:cs="Helvetica" w:eastAsia="Helvetica" w:hAnsi="Helvetica"/>
          <w:sz w:val="16"/>
          <w:szCs w:val="16"/>
        </w:rPr>
        <w:t xml:space="preserve">	</w:t>
      </w:r>
      <w:r>
        <w:rPr>
          <w:rFonts w:ascii="Helvetica" w:cs="Helvetica" w:eastAsia="Helvetica" w:hAnsi="Helvetica"/>
          <w:color w:val="6F5845"/>
          <w:spacing w:val="120"/>
          <w:sz w:val="16"/>
          <w:szCs w:val="16"/>
        </w:rPr>
        <w:t xml:space="preserve">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6F58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VSGV Founders’ Agreement</dc:title>
  <dc:creator>VSGV</dc:creator>
  <dc:description>Very Strong Gummy Ventures — Founders’ Agreement between Jillian Muller and Luke Vigeant.</dc:description>
  <cp:lastModifiedBy>Un-named</cp:lastModifiedBy>
  <cp:revision>1</cp:revision>
  <dcterms:created xsi:type="dcterms:W3CDTF">2026-04-18T15:50:51.557Z</dcterms:created>
  <dcterms:modified xsi:type="dcterms:W3CDTF">2026-04-18T15:50:51.558Z</dcterms:modified>
</cp:coreProperties>
</file>

<file path=docProps/custom.xml><?xml version="1.0" encoding="utf-8"?>
<Properties xmlns="http://schemas.openxmlformats.org/officeDocument/2006/custom-properties" xmlns:vt="http://schemas.openxmlformats.org/officeDocument/2006/docPropsVTypes"/>
</file>