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60"/>
      </w:pPr>
      <w:r>
        <w:rPr>
          <w:rFonts w:ascii="Inter" w:cs="Inter" w:eastAsia="Inter" w:hAnsi="Inter"/>
          <w:b/>
          <w:bCs/>
          <w:color w:val="FF7300"/>
          <w:sz w:val="48"/>
          <w:szCs w:val="48"/>
        </w:rPr>
        <w:t xml:space="preserve">WSO2 Africa Hackathon</w:t>
      </w:r>
    </w:p>
    <w:p>
      <w:pPr>
        <w:spacing w:after="240" w:line="360"/>
      </w:pPr>
      <w:r>
        <w:rPr>
          <w:rFonts w:ascii="Inter" w:cs="Inter" w:eastAsia="Inter" w:hAnsi="Inter"/>
          <w:color w:val="595959"/>
          <w:sz w:val="28"/>
          <w:szCs w:val="28"/>
        </w:rPr>
        <w:t xml:space="preserve">Build an Enterprise AI Assistant — Developer Overview</w:t>
      </w:r>
    </w:p>
    <w:p>
      <w:pPr>
        <w:spacing w:after="120" w:before="0" w:line="360"/>
      </w:pPr>
      <w:r>
        <w:rPr>
          <w:rFonts w:ascii="Inter" w:cs="Inter" w:eastAsia="Inter" w:hAnsi="Inter"/>
          <w:color w:val="1A1A1A"/>
          <w:sz w:val="22"/>
          <w:szCs w:val="22"/>
        </w:rPr>
        <w:t xml:space="preserve">This overview introduces the WSO2 product stack you can build on during the hackathon. It assumes you have never used a WSO2 product before. Read it once end to end; it takes about ten minutes and will save you far more. Alongside this document you have a set of Markdown files — a context pack, composition patterns, a day-zero quick start, and an AI-tool skill file — designed to be used directly with AI coding assistants such as Claude, Cursor, and Codex.</w:t>
      </w:r>
    </w:p>
    <w:p>
      <w:pPr>
        <w:pStyle w:val="Heading1"/>
        <w:spacing w:after="120" w:before="240" w:line="360"/>
      </w:pPr>
      <w:r>
        <w:rPr>
          <w:rFonts w:ascii="Inter" w:cs="Inter" w:eastAsia="Inter" w:hAnsi="Inter"/>
          <w:b/>
          <w:bCs/>
          <w:color w:val="1A1A1A"/>
          <w:sz w:val="36"/>
          <w:szCs w:val="36"/>
        </w:rPr>
        <w:t xml:space="preserve">The challenge, in one line</w:t>
      </w:r>
    </w:p>
    <w:p>
      <w:pPr>
        <w:spacing w:after="120" w:before="0" w:line="360"/>
      </w:pPr>
      <w:r>
        <w:rPr>
          <w:rFonts w:ascii="Inter" w:cs="Inter" w:eastAsia="Inter" w:hAnsi="Inter"/>
          <w:color w:val="1A1A1A"/>
          <w:sz w:val="22"/>
          <w:szCs w:val="22"/>
        </w:rPr>
        <w:t xml:space="preserve">Build an Enterprise AI Assistant, powered by WSO2, that solves a real problem for an industry you choose. It should securely connect to enterprise systems, invoke APIs, automate workflows, and provide intelligent, actionable experiences. You are free to pick any industry and compose the products however you like — there is no prescribed architecture.</w:t>
      </w:r>
    </w:p>
    <w:p>
      <w:pPr>
        <w:pStyle w:val="Heading1"/>
        <w:spacing w:after="120" w:before="240" w:line="360"/>
      </w:pPr>
      <w:r>
        <w:rPr>
          <w:rFonts w:ascii="Inter" w:cs="Inter" w:eastAsia="Inter" w:hAnsi="Inter"/>
          <w:b/>
          <w:bCs/>
          <w:color w:val="1A1A1A"/>
          <w:sz w:val="36"/>
          <w:szCs w:val="36"/>
        </w:rPr>
        <w:t xml:space="preserve">A stack for the agentic enterprise</w:t>
      </w:r>
    </w:p>
    <w:p>
      <w:pPr>
        <w:spacing w:after="120" w:before="0" w:line="360"/>
      </w:pPr>
      <w:r>
        <w:rPr>
          <w:rFonts w:ascii="Inter" w:cs="Inter" w:eastAsia="Inter" w:hAnsi="Inter"/>
          <w:color w:val="1A1A1A"/>
          <w:sz w:val="22"/>
          <w:szCs w:val="22"/>
        </w:rPr>
        <w:t xml:space="preserve">WSO2 provides a set of products that together let you build, govern, run, and observe AI agents and the systems they talk to. You do not need all of them. A strong submission might use two; an ambitious one might use five. What matters is that each product you include does real work.</w:t>
      </w:r>
    </w:p>
    <w:p>
      <w:pPr>
        <w:pStyle w:val="Heading2"/>
        <w:spacing w:after="120" w:before="200" w:line="360"/>
      </w:pPr>
      <w:r>
        <w:rPr>
          <w:rFonts w:ascii="Inter" w:cs="Inter" w:eastAsia="Inter" w:hAnsi="Inter"/>
          <w:b/>
          <w:bCs/>
          <w:color w:val="1A1A1A"/>
          <w:sz w:val="30"/>
          <w:szCs w:val="30"/>
        </w:rPr>
        <w:t xml:space="preserve">The products at a glance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900"/>
        <w:gridCol w:w="2500"/>
      </w:tblGrid>
      <w:tr>
        <w:trPr>
          <w:tblHeader/>
        </w:trPr>
        <w:tc>
          <w:tcPr>
            <w:tcW w:type="dxa" w:w="2600"/>
            <w:shd w:fill="FF7300" w:color="auto" w:val="clear"/>
            <w:tcMar>
              <w:top w:type="dxa" w:w="60"/>
              <w:left w:type="dxa" w:w="100"/>
              <w:bottom w:type="dxa" w:w="60"/>
              <w:right w:type="dxa" w:w="100"/>
            </w:tcMar>
          </w:tcPr>
          <w:p>
            <w:pPr>
              <w:spacing w:after="0" w:line="360"/>
            </w:pPr>
            <w:r>
              <w:rPr>
                <w:rFonts w:ascii="Inter" w:cs="Inter" w:eastAsia="Inter" w:hAnsi="Inter"/>
                <w:b/>
                <w:bCs/>
                <w:color w:val="FFFFFF"/>
                <w:sz w:val="22"/>
                <w:szCs w:val="22"/>
              </w:rPr>
              <w:t xml:space="preserve">Product</w:t>
            </w:r>
          </w:p>
        </w:tc>
        <w:tc>
          <w:tcPr>
            <w:tcW w:type="dxa" w:w="3900"/>
            <w:shd w:fill="FF7300" w:color="auto" w:val="clear"/>
            <w:tcMar>
              <w:top w:type="dxa" w:w="60"/>
              <w:left w:type="dxa" w:w="100"/>
              <w:bottom w:type="dxa" w:w="60"/>
              <w:right w:type="dxa" w:w="100"/>
            </w:tcMar>
          </w:tcPr>
          <w:p>
            <w:pPr>
              <w:spacing w:after="0" w:line="360"/>
            </w:pPr>
            <w:r>
              <w:rPr>
                <w:rFonts w:ascii="Inter" w:cs="Inter" w:eastAsia="Inter" w:hAnsi="Inter"/>
                <w:b/>
                <w:bCs/>
                <w:color w:val="FFFFFF"/>
                <w:sz w:val="22"/>
                <w:szCs w:val="22"/>
              </w:rPr>
              <w:t xml:space="preserve">What it gives you</w:t>
            </w:r>
          </w:p>
        </w:tc>
        <w:tc>
          <w:tcPr>
            <w:tcW w:type="dxa" w:w="2500"/>
            <w:shd w:fill="FF7300" w:color="auto" w:val="clear"/>
            <w:tcMar>
              <w:top w:type="dxa" w:w="60"/>
              <w:left w:type="dxa" w:w="100"/>
              <w:bottom w:type="dxa" w:w="60"/>
              <w:right w:type="dxa" w:w="100"/>
            </w:tcMar>
          </w:tcPr>
          <w:p>
            <w:pPr>
              <w:spacing w:after="0" w:line="360"/>
            </w:pPr>
            <w:r>
              <w:rPr>
                <w:rFonts w:ascii="Inter" w:cs="Inter" w:eastAsia="Inter" w:hAnsi="Inter"/>
                <w:b/>
                <w:bCs/>
                <w:color w:val="FFFFFF"/>
                <w:sz w:val="22"/>
                <w:szCs w:val="22"/>
              </w:rPr>
              <w:t xml:space="preserve">Reach for it when</w:t>
            </w:r>
          </w:p>
        </w:tc>
      </w:tr>
      <w:tr>
        <w:trPr>
          <w:tblHeader w:val="false"/>
        </w:trPr>
        <w:tc>
          <w:tcPr>
            <w:tcW w:type="dxa" w:w="2600"/>
            <w:shd w:fill="FFFFFF" w:color="auto" w:val="clear"/>
            <w:tcMar>
              <w:top w:type="dxa" w:w="60"/>
              <w:left w:type="dxa" w:w="100"/>
              <w:bottom w:type="dxa" w:w="60"/>
              <w:right w:type="dxa" w:w="100"/>
            </w:tcMar>
          </w:tcPr>
          <w:p>
            <w:pPr>
              <w:spacing w:after="0" w:line="360"/>
            </w:pPr>
            <w:r>
              <w:rPr>
                <w:rFonts w:ascii="Inter" w:cs="Inter" w:eastAsia="Inter" w:hAnsi="Inter"/>
                <w:b w:val="false"/>
                <w:bCs w:val="false"/>
                <w:color w:val="1A1A1A"/>
                <w:sz w:val="20"/>
                <w:szCs w:val="20"/>
              </w:rPr>
              <w:t xml:space="preserve">WSO2 API Platform (AI Gateway)</w:t>
            </w:r>
          </w:p>
        </w:tc>
        <w:tc>
          <w:tcPr>
            <w:tcW w:type="dxa" w:w="3900"/>
            <w:shd w:fill="FFFFFF" w:color="auto" w:val="clear"/>
            <w:tcMar>
              <w:top w:type="dxa" w:w="60"/>
              <w:left w:type="dxa" w:w="100"/>
              <w:bottom w:type="dxa" w:w="60"/>
              <w:right w:type="dxa" w:w="100"/>
            </w:tcMar>
          </w:tcPr>
          <w:p>
            <w:pPr>
              <w:spacing w:after="0" w:line="360"/>
            </w:pPr>
            <w:r>
              <w:rPr>
                <w:rFonts w:ascii="Inter" w:cs="Inter" w:eastAsia="Inter" w:hAnsi="Inter"/>
                <w:b w:val="false"/>
                <w:bCs w:val="false"/>
                <w:color w:val="1A1A1A"/>
                <w:sz w:val="20"/>
                <w:szCs w:val="20"/>
              </w:rPr>
              <w:t xml:space="preserve">One control point for API, LLM, and MCP traffic: LLM routing, guardrails, token limits; and auto-generating MCP tools from your APIs.</w:t>
            </w:r>
          </w:p>
        </w:tc>
        <w:tc>
          <w:tcPr>
            <w:tcW w:type="dxa" w:w="2500"/>
            <w:shd w:fill="FFFFFF" w:color="auto" w:val="clear"/>
            <w:tcMar>
              <w:top w:type="dxa" w:w="60"/>
              <w:left w:type="dxa" w:w="100"/>
              <w:bottom w:type="dxa" w:w="60"/>
              <w:right w:type="dxa" w:w="100"/>
            </w:tcMar>
          </w:tcPr>
          <w:p>
            <w:pPr>
              <w:spacing w:after="0" w:line="360"/>
            </w:pPr>
            <w:r>
              <w:rPr>
                <w:rFonts w:ascii="Inter" w:cs="Inter" w:eastAsia="Inter" w:hAnsi="Inter"/>
                <w:b w:val="false"/>
                <w:bCs w:val="false"/>
                <w:color w:val="1A1A1A"/>
                <w:sz w:val="20"/>
                <w:szCs w:val="20"/>
              </w:rPr>
              <w:t xml:space="preserve">Your assistant calls LLMs or needs to call enterprise APIs safely as agent tools.</w:t>
            </w:r>
          </w:p>
        </w:tc>
      </w:tr>
      <w:tr>
        <w:trPr>
          <w:tblHeader w:val="false"/>
        </w:trPr>
        <w:tc>
          <w:tcPr>
            <w:tcW w:type="dxa" w:w="2600"/>
            <w:shd w:fill="FFFFFF" w:color="auto" w:val="clear"/>
            <w:tcMar>
              <w:top w:type="dxa" w:w="60"/>
              <w:left w:type="dxa" w:w="100"/>
              <w:bottom w:type="dxa" w:w="60"/>
              <w:right w:type="dxa" w:w="100"/>
            </w:tcMar>
          </w:tcPr>
          <w:p>
            <w:pPr>
              <w:spacing w:after="0" w:line="360"/>
            </w:pPr>
            <w:r>
              <w:rPr>
                <w:rFonts w:ascii="Inter" w:cs="Inter" w:eastAsia="Inter" w:hAnsi="Inter"/>
                <w:b w:val="false"/>
                <w:bCs w:val="false"/>
                <w:color w:val="1A1A1A"/>
                <w:sz w:val="20"/>
                <w:szCs w:val="20"/>
              </w:rPr>
              <w:t xml:space="preserve">WSO2 Integration Platform (WSO2 Integrator)</w:t>
            </w:r>
          </w:p>
        </w:tc>
        <w:tc>
          <w:tcPr>
            <w:tcW w:type="dxa" w:w="3900"/>
            <w:shd w:fill="FFFFFF" w:color="auto" w:val="clear"/>
            <w:tcMar>
              <w:top w:type="dxa" w:w="60"/>
              <w:left w:type="dxa" w:w="100"/>
              <w:bottom w:type="dxa" w:w="60"/>
              <w:right w:type="dxa" w:w="100"/>
            </w:tcMar>
          </w:tcPr>
          <w:p>
            <w:pPr>
              <w:spacing w:after="0" w:line="360"/>
            </w:pPr>
            <w:r>
              <w:rPr>
                <w:rFonts w:ascii="Inter" w:cs="Inter" w:eastAsia="Inter" w:hAnsi="Inter"/>
                <w:b w:val="false"/>
                <w:bCs w:val="false"/>
                <w:color w:val="1A1A1A"/>
                <w:sz w:val="20"/>
                <w:szCs w:val="20"/>
              </w:rPr>
              <w:t xml:space="preserve">Low-code and pro-code building of agents, RAG pipelines, memory, and integrations, with 600+ connectors and built-in evaluation.</w:t>
            </w:r>
          </w:p>
        </w:tc>
        <w:tc>
          <w:tcPr>
            <w:tcW w:type="dxa" w:w="2500"/>
            <w:shd w:fill="FFFFFF" w:color="auto" w:val="clear"/>
            <w:tcMar>
              <w:top w:type="dxa" w:w="60"/>
              <w:left w:type="dxa" w:w="100"/>
              <w:bottom w:type="dxa" w:w="60"/>
              <w:right w:type="dxa" w:w="100"/>
            </w:tcMar>
          </w:tcPr>
          <w:p>
            <w:pPr>
              <w:spacing w:after="0" w:line="360"/>
            </w:pPr>
            <w:r>
              <w:rPr>
                <w:rFonts w:ascii="Inter" w:cs="Inter" w:eastAsia="Inter" w:hAnsi="Inter"/>
                <w:b w:val="false"/>
                <w:bCs w:val="false"/>
                <w:color w:val="1A1A1A"/>
                <w:sz w:val="20"/>
                <w:szCs w:val="20"/>
              </w:rPr>
              <w:t xml:space="preserve">You are building the agent itself, RAG, or connecting to enterprise systems.</w:t>
            </w:r>
          </w:p>
        </w:tc>
      </w:tr>
      <w:tr>
        <w:trPr>
          <w:tblHeader w:val="false"/>
        </w:trPr>
        <w:tc>
          <w:tcPr>
            <w:tcW w:type="dxa" w:w="2600"/>
            <w:shd w:fill="FFFFFF" w:color="auto" w:val="clear"/>
            <w:tcMar>
              <w:top w:type="dxa" w:w="60"/>
              <w:left w:type="dxa" w:w="100"/>
              <w:bottom w:type="dxa" w:w="60"/>
              <w:right w:type="dxa" w:w="100"/>
            </w:tcMar>
          </w:tcPr>
          <w:p>
            <w:pPr>
              <w:spacing w:after="0" w:line="360"/>
            </w:pPr>
            <w:r>
              <w:rPr>
                <w:rFonts w:ascii="Inter" w:cs="Inter" w:eastAsia="Inter" w:hAnsi="Inter"/>
                <w:b w:val="false"/>
                <w:bCs w:val="false"/>
                <w:color w:val="1A1A1A"/>
                <w:sz w:val="20"/>
                <w:szCs w:val="20"/>
              </w:rPr>
              <w:t xml:space="preserve">WSO2 Identity Platform</w:t>
            </w:r>
          </w:p>
        </w:tc>
        <w:tc>
          <w:tcPr>
            <w:tcW w:type="dxa" w:w="3900"/>
            <w:shd w:fill="FFFFFF" w:color="auto" w:val="clear"/>
            <w:tcMar>
              <w:top w:type="dxa" w:w="60"/>
              <w:left w:type="dxa" w:w="100"/>
              <w:bottom w:type="dxa" w:w="60"/>
              <w:right w:type="dxa" w:w="100"/>
            </w:tcMar>
          </w:tcPr>
          <w:p>
            <w:pPr>
              <w:spacing w:after="0" w:line="360"/>
            </w:pPr>
            <w:r>
              <w:rPr>
                <w:rFonts w:ascii="Inter" w:cs="Inter" w:eastAsia="Inter" w:hAnsi="Inter"/>
                <w:b w:val="false"/>
                <w:bCs w:val="false"/>
                <w:color w:val="1A1A1A"/>
                <w:sz w:val="20"/>
                <w:szCs w:val="20"/>
              </w:rPr>
              <w:t xml:space="preserve">Identity for users and, via Agent ID, for the agents themselves, plus MCP authorization.</w:t>
            </w:r>
          </w:p>
        </w:tc>
        <w:tc>
          <w:tcPr>
            <w:tcW w:type="dxa" w:w="2500"/>
            <w:shd w:fill="FFFFFF" w:color="auto" w:val="clear"/>
            <w:tcMar>
              <w:top w:type="dxa" w:w="60"/>
              <w:left w:type="dxa" w:w="100"/>
              <w:bottom w:type="dxa" w:w="60"/>
              <w:right w:type="dxa" w:w="100"/>
            </w:tcMar>
          </w:tcPr>
          <w:p>
            <w:pPr>
              <w:spacing w:after="0" w:line="360"/>
            </w:pPr>
            <w:r>
              <w:rPr>
                <w:rFonts w:ascii="Inter" w:cs="Inter" w:eastAsia="Inter" w:hAnsi="Inter"/>
                <w:b w:val="false"/>
                <w:bCs w:val="false"/>
                <w:color w:val="1A1A1A"/>
                <w:sz w:val="20"/>
                <w:szCs w:val="20"/>
              </w:rPr>
              <w:t xml:space="preserve">Users log in or consent, or you want the agent to be a governed, authorizable identity.</w:t>
            </w:r>
          </w:p>
        </w:tc>
      </w:tr>
      <w:tr>
        <w:trPr>
          <w:tblHeader w:val="false"/>
        </w:trPr>
        <w:tc>
          <w:tcPr>
            <w:tcW w:type="dxa" w:w="2600"/>
            <w:shd w:fill="FFFFFF" w:color="auto" w:val="clear"/>
            <w:tcMar>
              <w:top w:type="dxa" w:w="60"/>
              <w:left w:type="dxa" w:w="100"/>
              <w:bottom w:type="dxa" w:w="60"/>
              <w:right w:type="dxa" w:w="100"/>
            </w:tcMar>
          </w:tcPr>
          <w:p>
            <w:pPr>
              <w:spacing w:after="0" w:line="360"/>
            </w:pPr>
            <w:r>
              <w:rPr>
                <w:rFonts w:ascii="Inter" w:cs="Inter" w:eastAsia="Inter" w:hAnsi="Inter"/>
                <w:b w:val="false"/>
                <w:bCs w:val="false"/>
                <w:color w:val="1A1A1A"/>
                <w:sz w:val="20"/>
                <w:szCs w:val="20"/>
              </w:rPr>
              <w:t xml:space="preserve">Agent Manager Platform (pre-GA)</w:t>
            </w:r>
          </w:p>
        </w:tc>
        <w:tc>
          <w:tcPr>
            <w:tcW w:type="dxa" w:w="3900"/>
            <w:shd w:fill="FFFFFF" w:color="auto" w:val="clear"/>
            <w:tcMar>
              <w:top w:type="dxa" w:w="60"/>
              <w:left w:type="dxa" w:w="100"/>
              <w:bottom w:type="dxa" w:w="60"/>
              <w:right w:type="dxa" w:w="100"/>
            </w:tcMar>
          </w:tcPr>
          <w:p>
            <w:pPr>
              <w:spacing w:after="0" w:line="360"/>
            </w:pPr>
            <w:r>
              <w:rPr>
                <w:rFonts w:ascii="Inter" w:cs="Inter" w:eastAsia="Inter" w:hAnsi="Inter"/>
                <w:b w:val="false"/>
                <w:bCs w:val="false"/>
                <w:color w:val="1A1A1A"/>
                <w:sz w:val="20"/>
                <w:szCs w:val="20"/>
              </w:rPr>
              <w:t xml:space="preserve">Deploy, observe, evaluate, and secure agents at scale, with zero-code instrumentation for LangChain and LlamaIndex.</w:t>
            </w:r>
          </w:p>
        </w:tc>
        <w:tc>
          <w:tcPr>
            <w:tcW w:type="dxa" w:w="2500"/>
            <w:shd w:fill="FFFFFF" w:color="auto" w:val="clear"/>
            <w:tcMar>
              <w:top w:type="dxa" w:w="60"/>
              <w:left w:type="dxa" w:w="100"/>
              <w:bottom w:type="dxa" w:w="60"/>
              <w:right w:type="dxa" w:w="100"/>
            </w:tcMar>
          </w:tcPr>
          <w:p>
            <w:pPr>
              <w:spacing w:after="0" w:line="360"/>
            </w:pPr>
            <w:r>
              <w:rPr>
                <w:rFonts w:ascii="Inter" w:cs="Inter" w:eastAsia="Inter" w:hAnsi="Inter"/>
                <w:b w:val="false"/>
                <w:bCs w:val="false"/>
                <w:color w:val="1A1A1A"/>
                <w:sz w:val="20"/>
                <w:szCs w:val="20"/>
              </w:rPr>
              <w:t xml:space="preserve">You want to host, trace, and grade your agent — a strong bonus-points play.</w:t>
            </w:r>
          </w:p>
        </w:tc>
      </w:tr>
      <w:tr>
        <w:trPr>
          <w:tblHeader w:val="false"/>
        </w:trPr>
        <w:tc>
          <w:tcPr>
            <w:tcW w:type="dxa" w:w="2600"/>
            <w:shd w:fill="FFFFFF" w:color="auto" w:val="clear"/>
            <w:tcMar>
              <w:top w:type="dxa" w:w="60"/>
              <w:left w:type="dxa" w:w="100"/>
              <w:bottom w:type="dxa" w:w="60"/>
              <w:right w:type="dxa" w:w="100"/>
            </w:tcMar>
          </w:tcPr>
          <w:p>
            <w:pPr>
              <w:spacing w:after="0" w:line="360"/>
            </w:pPr>
            <w:r>
              <w:rPr>
                <w:rFonts w:ascii="Inter" w:cs="Inter" w:eastAsia="Inter" w:hAnsi="Inter"/>
                <w:b w:val="false"/>
                <w:bCs w:val="false"/>
                <w:color w:val="1A1A1A"/>
                <w:sz w:val="20"/>
                <w:szCs w:val="20"/>
              </w:rPr>
              <w:t xml:space="preserve">OpenChoreo</w:t>
            </w:r>
          </w:p>
        </w:tc>
        <w:tc>
          <w:tcPr>
            <w:tcW w:type="dxa" w:w="3900"/>
            <w:shd w:fill="FFFFFF" w:color="auto" w:val="clear"/>
            <w:tcMar>
              <w:top w:type="dxa" w:w="60"/>
              <w:left w:type="dxa" w:w="100"/>
              <w:bottom w:type="dxa" w:w="60"/>
              <w:right w:type="dxa" w:w="100"/>
            </w:tcMar>
          </w:tcPr>
          <w:p>
            <w:pPr>
              <w:spacing w:after="0" w:line="360"/>
            </w:pPr>
            <w:r>
              <w:rPr>
                <w:rFonts w:ascii="Inter" w:cs="Inter" w:eastAsia="Inter" w:hAnsi="Inter"/>
                <w:b w:val="false"/>
                <w:bCs w:val="false"/>
                <w:color w:val="1A1A1A"/>
                <w:sz w:val="20"/>
                <w:szCs w:val="20"/>
              </w:rPr>
              <w:t xml:space="preserve">Open-source, Kubernetes-native hosting for your components.</w:t>
            </w:r>
          </w:p>
        </w:tc>
        <w:tc>
          <w:tcPr>
            <w:tcW w:type="dxa" w:w="2500"/>
            <w:shd w:fill="FFFFFF" w:color="auto" w:val="clear"/>
            <w:tcMar>
              <w:top w:type="dxa" w:w="60"/>
              <w:left w:type="dxa" w:w="100"/>
              <w:bottom w:type="dxa" w:w="60"/>
              <w:right w:type="dxa" w:w="100"/>
            </w:tcMar>
          </w:tcPr>
          <w:p>
            <w:pPr>
              <w:spacing w:after="0" w:line="360"/>
            </w:pPr>
            <w:r>
              <w:rPr>
                <w:rFonts w:ascii="Inter" w:cs="Inter" w:eastAsia="Inter" w:hAnsi="Inter"/>
                <w:b w:val="false"/>
                <w:bCs w:val="false"/>
                <w:color w:val="1A1A1A"/>
                <w:sz w:val="20"/>
                <w:szCs w:val="20"/>
              </w:rPr>
              <w:t xml:space="preserve">You want a credible production hosting story.</w:t>
            </w:r>
          </w:p>
        </w:tc>
      </w:tr>
      <w:tr>
        <w:trPr>
          <w:tblHeader w:val="false"/>
        </w:trPr>
        <w:tc>
          <w:tcPr>
            <w:tcW w:type="dxa" w:w="2600"/>
            <w:shd w:fill="FFFFFF" w:color="auto" w:val="clear"/>
            <w:tcMar>
              <w:top w:type="dxa" w:w="60"/>
              <w:left w:type="dxa" w:w="100"/>
              <w:bottom w:type="dxa" w:w="60"/>
              <w:right w:type="dxa" w:w="100"/>
            </w:tcMar>
          </w:tcPr>
          <w:p>
            <w:pPr>
              <w:spacing w:after="0" w:line="360"/>
            </w:pPr>
            <w:r>
              <w:rPr>
                <w:rFonts w:ascii="Inter" w:cs="Inter" w:eastAsia="Inter" w:hAnsi="Inter"/>
                <w:b w:val="false"/>
                <w:bCs w:val="false"/>
                <w:color w:val="1A1A1A"/>
                <w:sz w:val="20"/>
                <w:szCs w:val="20"/>
              </w:rPr>
              <w:t xml:space="preserve">Moesif</w:t>
            </w:r>
          </w:p>
        </w:tc>
        <w:tc>
          <w:tcPr>
            <w:tcW w:type="dxa" w:w="3900"/>
            <w:shd w:fill="FFFFFF" w:color="auto" w:val="clear"/>
            <w:tcMar>
              <w:top w:type="dxa" w:w="60"/>
              <w:left w:type="dxa" w:w="100"/>
              <w:bottom w:type="dxa" w:w="60"/>
              <w:right w:type="dxa" w:w="100"/>
            </w:tcMar>
          </w:tcPr>
          <w:p>
            <w:pPr>
              <w:spacing w:after="0" w:line="360"/>
            </w:pPr>
            <w:r>
              <w:rPr>
                <w:rFonts w:ascii="Inter" w:cs="Inter" w:eastAsia="Inter" w:hAnsi="Inter"/>
                <w:b w:val="false"/>
                <w:bCs w:val="false"/>
                <w:color w:val="1A1A1A"/>
                <w:sz w:val="20"/>
                <w:szCs w:val="20"/>
              </w:rPr>
              <w:t xml:space="preserve">SaaS analytics and monetization for AI and API traffic, fed by the AI Gateway.</w:t>
            </w:r>
          </w:p>
        </w:tc>
        <w:tc>
          <w:tcPr>
            <w:tcW w:type="dxa" w:w="2500"/>
            <w:shd w:fill="FFFFFF" w:color="auto" w:val="clear"/>
            <w:tcMar>
              <w:top w:type="dxa" w:w="60"/>
              <w:left w:type="dxa" w:w="100"/>
              <w:bottom w:type="dxa" w:w="60"/>
              <w:right w:type="dxa" w:w="100"/>
            </w:tcMar>
          </w:tcPr>
          <w:p>
            <w:pPr>
              <w:spacing w:after="0" w:line="360"/>
            </w:pPr>
            <w:r>
              <w:rPr>
                <w:rFonts w:ascii="Inter" w:cs="Inter" w:eastAsia="Inter" w:hAnsi="Inter"/>
                <w:b w:val="false"/>
                <w:bCs w:val="false"/>
                <w:color w:val="1A1A1A"/>
                <w:sz w:val="20"/>
                <w:szCs w:val="20"/>
              </w:rPr>
              <w:t xml:space="preserve">You want to show AI cost and usage, or a monetization angle.</w:t>
            </w:r>
          </w:p>
        </w:tc>
      </w:tr>
    </w:tbl>
    <w:p>
      <w:pPr>
        <w:spacing w:after="60"/>
      </w:pPr>
      <w:r>
        <w:rPr>
          <w:rFonts w:ascii="Inter" w:cs="Inter" w:eastAsia="Inter" w:hAnsi="Inter"/>
        </w:rPr>
        <w:t xml:space="preserve"/>
      </w:r>
    </w:p>
    <w:p>
      <w:pPr>
        <w:spacing w:after="120" w:before="0" w:line="360"/>
      </w:pPr>
      <w:r>
        <w:rPr>
          <w:rFonts w:ascii="Inter" w:cs="Inter" w:eastAsia="Inter" w:hAnsi="Inter"/>
          <w:b/>
          <w:bCs/>
          <w:color w:val="1A1A1A"/>
          <w:sz w:val="22"/>
          <w:szCs w:val="22"/>
        </w:rPr>
        <w:t xml:space="preserve">A note on names.</w:t>
      </w:r>
      <w:r>
        <w:rPr>
          <w:rFonts w:ascii="Inter" w:cs="Inter" w:eastAsia="Inter" w:hAnsi="Inter"/>
          <w:color w:val="1A1A1A"/>
          <w:sz w:val="22"/>
          <w:szCs w:val="22"/>
        </w:rPr>
        <w:t xml:space="preserve"> These products were released or renamed in 2026. Use the exact names above — for example, what used to be "API Manager" is now one deployment mode of the WSO2 API Platform, and the BI, MI, and SI products are now unified as WSO2 Integrator. The accompanying context pack has a full naming table.</w:t>
      </w:r>
    </w:p>
    <w:p>
      <w:pPr>
        <w:pStyle w:val="Heading1"/>
        <w:spacing w:after="120" w:before="240" w:line="360"/>
      </w:pPr>
      <w:r>
        <w:rPr>
          <w:rFonts w:ascii="Inter" w:cs="Inter" w:eastAsia="Inter" w:hAnsi="Inter"/>
          <w:b/>
          <w:bCs/>
          <w:color w:val="1A1A1A"/>
          <w:sz w:val="36"/>
          <w:szCs w:val="36"/>
        </w:rPr>
        <w:t xml:space="preserve">How the products fit together</w:t>
      </w:r>
    </w:p>
    <w:p>
      <w:pPr>
        <w:spacing w:after="120" w:before="0" w:line="360"/>
      </w:pPr>
      <w:r>
        <w:rPr>
          <w:rFonts w:ascii="Inter" w:cs="Inter" w:eastAsia="Inter" w:hAnsi="Inter"/>
          <w:color w:val="1A1A1A"/>
          <w:sz w:val="22"/>
          <w:szCs w:val="22"/>
        </w:rPr>
        <w:t xml:space="preserve">Think of it as a chain. A user (authenticated by the Identity Platform) talks to your assistant. The assistant — built in WSO2 Integrator, or in your own framework — is the brain. When it needs to think, it calls an LLM through the AI Gateway's LLM Proxy, which adds cost control and guardrails. When it needs to act, it calls your enterprise APIs as tools through the MCP Gateway, which adds authentication and an audit trail. Agent Manager watches and grades the agent; Moesif reports on cost and usage; OpenChoreo hosts the whole thing.</w:t>
      </w:r>
    </w:p>
    <w:p>
      <w:pPr>
        <w:spacing w:after="120" w:before="0" w:line="360"/>
      </w:pPr>
      <w:r>
        <w:rPr>
          <w:rFonts w:ascii="Inter" w:cs="Inter" w:eastAsia="Inter" w:hAnsi="Inter"/>
          <w:color w:val="1A1A1A"/>
          <w:sz w:val="22"/>
          <w:szCs w:val="22"/>
        </w:rPr>
        <w:t xml:space="preserve">The companion file composition-patterns.md breaks this into seven reusable building blocks you can mix and match. There is deliberately no single reference architecture and no worked industry example — the intent is to leave room for your own ideas.</w:t>
      </w:r>
    </w:p>
    <w:p>
      <w:pPr>
        <w:pStyle w:val="Heading1"/>
        <w:spacing w:after="120" w:before="240" w:line="360"/>
      </w:pPr>
      <w:r>
        <w:rPr>
          <w:rFonts w:ascii="Inter" w:cs="Inter" w:eastAsia="Inter" w:hAnsi="Inter"/>
          <w:b/>
          <w:bCs/>
          <w:color w:val="1A1A1A"/>
          <w:sz w:val="36"/>
          <w:szCs w:val="36"/>
        </w:rPr>
        <w:t xml:space="preserve">Designed to work with AI coding tools</w:t>
      </w:r>
    </w:p>
    <w:p>
      <w:pPr>
        <w:spacing w:after="120" w:before="0" w:line="360"/>
      </w:pPr>
      <w:r>
        <w:rPr>
          <w:rFonts w:ascii="Inter" w:cs="Inter" w:eastAsia="Inter" w:hAnsi="Inter"/>
          <w:color w:val="1A1A1A"/>
          <w:sz w:val="22"/>
          <w:szCs w:val="22"/>
        </w:rPr>
        <w:t xml:space="preserve">Most teams will build with AI assistants. There is a catch worth understanding: every WSO2 product here is newer than the training data of every current AI model. Left alone, your model will confidently invent WSO2 commands, configuration keys, and product names that do not exist — and you will lose time debugging fiction.</w:t>
      </w:r>
    </w:p>
    <w:p>
      <w:pPr>
        <w:spacing w:after="120" w:before="0" w:line="360"/>
      </w:pPr>
      <w:r>
        <w:rPr>
          <w:rFonts w:ascii="Inter" w:cs="Inter" w:eastAsia="Inter" w:hAnsi="Inter"/>
          <w:color w:val="1A1A1A"/>
          <w:sz w:val="22"/>
          <w:szCs w:val="22"/>
        </w:rPr>
        <w:t xml:space="preserve">The starter kit is built to counter this. Paste the context pack into your AI tool at the start of a session so it learns the correct mental model. If your tool supports skills or rules files, install the provided skill file so the model consistently verifies against live documentation instead of guessing. Both artifacts include an explicit instruction: when unsure about a WSO2 specific, fetch the docs rather than invent.</w:t>
      </w:r>
    </w:p>
    <w:p>
      <w:pPr>
        <w:pStyle w:val="Heading1"/>
        <w:spacing w:after="120" w:before="240" w:line="360"/>
      </w:pPr>
      <w:r>
        <w:rPr>
          <w:rFonts w:ascii="Inter" w:cs="Inter" w:eastAsia="Inter" w:hAnsi="Inter"/>
          <w:b/>
          <w:bCs/>
          <w:color w:val="1A1A1A"/>
          <w:sz w:val="36"/>
          <w:szCs w:val="36"/>
        </w:rPr>
        <w:t xml:space="preserve">Getting started in the first hour</w:t>
      </w:r>
    </w:p>
    <w:p>
      <w:pPr>
        <w:pStyle w:val="ListParagraph"/>
        <w:numPr>
          <w:ilvl w:val="0"/>
          <w:numId w:val="1"/>
        </w:numPr>
        <w:spacing w:after="60" w:before="0" w:line="360"/>
      </w:pPr>
      <w:r>
        <w:rPr>
          <w:rFonts w:ascii="Inter" w:cs="Inter" w:eastAsia="Inter" w:hAnsi="Inter"/>
          <w:b/>
          <w:bCs/>
          <w:color w:val="1A1A1A"/>
          <w:sz w:val="22"/>
          <w:szCs w:val="22"/>
        </w:rPr>
        <w:t xml:space="preserve">Choose your products.</w:t>
      </w:r>
      <w:r>
        <w:rPr>
          <w:rFonts w:ascii="Inter" w:cs="Inter" w:eastAsia="Inter" w:hAnsi="Inter"/>
          <w:color w:val="1A1A1A"/>
          <w:sz w:val="22"/>
          <w:szCs w:val="22"/>
        </w:rPr>
        <w:t xml:space="preserve"> Read the composition patterns and pick the two to four that your idea genuinely needs.</w:t>
      </w:r>
    </w:p>
    <w:p>
      <w:pPr>
        <w:pStyle w:val="ListParagraph"/>
        <w:numPr>
          <w:ilvl w:val="0"/>
          <w:numId w:val="1"/>
        </w:numPr>
        <w:spacing w:after="60" w:before="0" w:line="360"/>
      </w:pPr>
      <w:r>
        <w:rPr>
          <w:rFonts w:ascii="Inter" w:cs="Inter" w:eastAsia="Inter" w:hAnsi="Inter"/>
          <w:b/>
          <w:bCs/>
          <w:color w:val="1A1A1A"/>
          <w:sz w:val="22"/>
          <w:szCs w:val="22"/>
        </w:rPr>
        <w:t xml:space="preserve">Stand up the AI Gateway locally.</w:t>
      </w:r>
      <w:r>
        <w:rPr>
          <w:rFonts w:ascii="Inter" w:cs="Inter" w:eastAsia="Inter" w:hAnsi="Inter"/>
          <w:color w:val="1A1A1A"/>
          <w:sz w:val="22"/>
          <w:szCs w:val="22"/>
        </w:rPr>
        <w:t xml:space="preserve"> Use the standalone gateway (configured by YAML and CLI) for a clean, on-prem-friendly start with no signup. Get a single LLM call flowing through it.</w:t>
      </w:r>
    </w:p>
    <w:p>
      <w:pPr>
        <w:pStyle w:val="ListParagraph"/>
        <w:numPr>
          <w:ilvl w:val="0"/>
          <w:numId w:val="1"/>
        </w:numPr>
        <w:spacing w:after="60" w:before="0" w:line="360"/>
      </w:pPr>
      <w:r>
        <w:rPr>
          <w:rFonts w:ascii="Inter" w:cs="Inter" w:eastAsia="Inter" w:hAnsi="Inter"/>
          <w:b/>
          <w:bCs/>
          <w:color w:val="1A1A1A"/>
          <w:sz w:val="22"/>
          <w:szCs w:val="22"/>
        </w:rPr>
        <w:t xml:space="preserve">Build a minimal agent.</w:t>
      </w:r>
      <w:r>
        <w:rPr>
          <w:rFonts w:ascii="Inter" w:cs="Inter" w:eastAsia="Inter" w:hAnsi="Inter"/>
          <w:color w:val="1A1A1A"/>
          <w:sz w:val="22"/>
          <w:szCs w:val="22"/>
        </w:rPr>
        <w:t xml:space="preserve"> In WSO2 Integrator, or wire your own LangChain or LlamaIndex app to the gateway endpoint.</w:t>
      </w:r>
    </w:p>
    <w:p>
      <w:pPr>
        <w:pStyle w:val="ListParagraph"/>
        <w:numPr>
          <w:ilvl w:val="0"/>
          <w:numId w:val="1"/>
        </w:numPr>
        <w:spacing w:after="60" w:before="0" w:line="360"/>
      </w:pPr>
      <w:r>
        <w:rPr>
          <w:rFonts w:ascii="Inter" w:cs="Inter" w:eastAsia="Inter" w:hAnsi="Inter"/>
          <w:b/>
          <w:bCs/>
          <w:color w:val="1A1A1A"/>
          <w:sz w:val="22"/>
          <w:szCs w:val="22"/>
        </w:rPr>
        <w:t xml:space="preserve">Add one real capability.</w:t>
      </w:r>
      <w:r>
        <w:rPr>
          <w:rFonts w:ascii="Inter" w:cs="Inter" w:eastAsia="Inter" w:hAnsi="Inter"/>
          <w:color w:val="1A1A1A"/>
          <w:sz w:val="22"/>
          <w:szCs w:val="22"/>
        </w:rPr>
        <w:t xml:space="preserve"> Either grounding via RAG in the Integrator, or an enterprise action via an MCP tool generated from an API specification.</w:t>
      </w:r>
    </w:p>
    <w:p>
      <w:pPr>
        <w:pStyle w:val="ListParagraph"/>
        <w:numPr>
          <w:ilvl w:val="0"/>
          <w:numId w:val="1"/>
        </w:numPr>
        <w:spacing w:after="60" w:before="0" w:line="360"/>
      </w:pPr>
      <w:r>
        <w:rPr>
          <w:rFonts w:ascii="Inter" w:cs="Inter" w:eastAsia="Inter" w:hAnsi="Inter"/>
          <w:b/>
          <w:bCs/>
          <w:color w:val="1A1A1A"/>
          <w:sz w:val="22"/>
          <w:szCs w:val="22"/>
        </w:rPr>
        <w:t xml:space="preserve">Then reach for bonus points</w:t>
      </w:r>
      <w:r>
        <w:rPr>
          <w:rFonts w:ascii="Inter" w:cs="Inter" w:eastAsia="Inter" w:hAnsi="Inter"/>
          <w:color w:val="1A1A1A"/>
          <w:sz w:val="22"/>
          <w:szCs w:val="22"/>
        </w:rPr>
        <w:t xml:space="preserve"> — identity and Agent ID, observability and evaluation, analytics, and hosting.</w:t>
      </w:r>
    </w:p>
    <w:p>
      <w:pPr>
        <w:spacing w:after="60"/>
      </w:pPr>
      <w:r>
        <w:rPr>
          <w:rFonts w:ascii="Inter" w:cs="Inter" w:eastAsia="Inter" w:hAnsi="Inter"/>
        </w:rPr>
        <w:t xml:space="preserve"/>
      </w:r>
    </w:p>
    <w:p>
      <w:pPr>
        <w:spacing w:after="120" w:before="0" w:line="360"/>
      </w:pPr>
      <w:r>
        <w:rPr>
          <w:rFonts w:ascii="Inter" w:cs="Inter" w:eastAsia="Inter" w:hAnsi="Inter"/>
          <w:color w:val="1A1A1A"/>
          <w:sz w:val="22"/>
          <w:szCs w:val="22"/>
        </w:rPr>
        <w:t xml:space="preserve">The day-zero quick start has the exact, version-checked commands and the honest caveats — including that the hybrid cloud gateway had regional limits at launch, which is why the local standalone path is the recommended starting point.</w:t>
      </w:r>
    </w:p>
    <w:p>
      <w:pPr>
        <w:pStyle w:val="Heading1"/>
        <w:spacing w:after="120" w:before="240" w:line="360"/>
      </w:pPr>
      <w:r>
        <w:rPr>
          <w:rFonts w:ascii="Inter" w:cs="Inter" w:eastAsia="Inter" w:hAnsi="Inter"/>
          <w:b/>
          <w:bCs/>
          <w:color w:val="1A1A1A"/>
          <w:sz w:val="36"/>
          <w:szCs w:val="36"/>
        </w:rPr>
        <w:t xml:space="preserve">What the judges reward</w:t>
      </w:r>
    </w:p>
    <w:p>
      <w:pPr>
        <w:spacing w:after="120" w:before="0" w:line="360"/>
      </w:pPr>
      <w:r>
        <w:rPr>
          <w:rFonts w:ascii="Inter" w:cs="Inter" w:eastAsia="Inter" w:hAnsi="Inter"/>
          <w:color w:val="1A1A1A"/>
          <w:sz w:val="22"/>
          <w:szCs w:val="22"/>
        </w:rPr>
        <w:t xml:space="preserve">Bonus points go to projects that integrate multiple WSO2 products meaningfully. Apply one test to your own design: for every WSO2 product in your architecture, ask whether your assistant would still work if you removed it. If it would, that product is decoration — either make it load-bearing or take it out. Two products doing real work will always beat five bolted on for show.</w:t>
      </w:r>
    </w:p>
    <w:p>
      <w:pPr>
        <w:spacing w:after="60"/>
      </w:pPr>
      <w:r>
        <w:rPr>
          <w:rFonts w:ascii="Inter" w:cs="Inter" w:eastAsia="Inter" w:hAnsi="Inter"/>
        </w:rPr>
        <w:t xml:space="preserve"/>
      </w:r>
    </w:p>
    <w:p>
      <w:pPr>
        <w:pBdr>
          <w:top w:val="single" w:color="CCCCCC" w:sz="6" w:space="8"/>
        </w:pBdr>
        <w:spacing w:after="0" w:before="120" w:line="360"/>
      </w:pPr>
      <w:r>
        <w:rPr>
          <w:rFonts w:ascii="Inter" w:cs="Inter" w:eastAsia="Inter" w:hAnsi="Inter"/>
          <w:i/>
          <w:iCs/>
          <w:color w:val="595959"/>
          <w:sz w:val="18"/>
          <w:szCs w:val="18"/>
        </w:rPr>
        <w:t xml:space="preserve">Product facts are current to mid-2026 and verified against WSO2 documentation. Because these products evolve quickly and some are pre-GA, always confirm version-specific details against the live documentation linked in the starter-kit Markdown files.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Inter" w:cs="Inter" w:eastAsia="Inter" w:hAnsi="Inter"/>
      <w:b/>
      <w:bCs/>
      <w:color w:val="1A1A1A"/>
      <w:sz w:val="36"/>
      <w:szCs w:val="36"/>
    </w:rPr>
  </w:style>
  <w:style w:type="paragraph" w:styleId="Heading2">
    <w:name w:val="Heading 2"/>
    <w:basedOn w:val="Normal"/>
    <w:next w:val="Normal"/>
    <w:qFormat/>
    <w:rPr>
      <w:rFonts w:ascii="Inter" w:cs="Inter" w:eastAsia="Inter" w:hAnsi="Inter"/>
      <w:b/>
      <w:bCs/>
      <w:color w:val="1A1A1A"/>
      <w:sz w:val="30"/>
      <w:szCs w:val="30"/>
    </w:rPr>
  </w:style>
  <w:style w:type="paragraph" w:styleId="Heading3">
    <w:name w:val="Heading 3"/>
    <w:basedOn w:val="Normal"/>
    <w:next w:val="Normal"/>
    <w:qFormat/>
    <w:rPr>
      <w:rFonts w:ascii="Inter" w:cs="Inter" w:eastAsia="Inter" w:hAnsi="Inter"/>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2026-07-12T14:33:03.221Z</dcterms:created>
  <dcterms:modified xsi:type="dcterms:W3CDTF">2026-07-12T14:33:03.235Z</dcterms:modified>
</cp:coreProperties>
</file>

<file path=docProps/custom.xml><?xml version="1.0" encoding="utf-8"?>
<Properties xmlns="http://schemas.openxmlformats.org/officeDocument/2006/custom-properties" xmlns:vt="http://schemas.openxmlformats.org/officeDocument/2006/docPropsVTypes"/>
</file>