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B69D" w14:textId="195F1D00" w:rsidR="00D94BC4" w:rsidRPr="000A359B" w:rsidRDefault="00FA1D1E" w:rsidP="00D94BC4">
      <w:pPr>
        <w:keepNext/>
        <w:spacing w:after="10" w:line="240" w:lineRule="auto"/>
        <w:jc w:val="center"/>
        <w:rPr>
          <w:rFonts w:ascii="Calibri" w:hAnsi="Calibri" w:cs="Calibri"/>
          <w:b/>
          <w:color w:val="002080"/>
          <w:sz w:val="28"/>
          <w:szCs w:val="28"/>
        </w:rPr>
      </w:pPr>
      <w:r w:rsidRPr="000A359B">
        <w:rPr>
          <w:rFonts w:ascii="Calibri" w:hAnsi="Calibri" w:cs="Calibri"/>
          <w:b/>
          <w:color w:val="002080"/>
          <w:sz w:val="28"/>
          <w:szCs w:val="28"/>
        </w:rPr>
        <w:t xml:space="preserve">Advanced Data Science : Pre-Submission Summary </w:t>
      </w:r>
    </w:p>
    <w:p w14:paraId="7A05F383" w14:textId="578E382A" w:rsidR="000B2F2B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466440">
        <w:rPr>
          <w:rFonts w:ascii="Calibri" w:hAnsi="Calibri" w:cs="Calibri"/>
          <w:b/>
          <w:color w:val="002080"/>
        </w:rPr>
        <w:t>1. Project and Group</w:t>
      </w:r>
    </w:p>
    <w:p w14:paraId="39FD8838" w14:textId="77777777" w:rsidR="00441DB7" w:rsidRPr="00466440" w:rsidRDefault="00441DB7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29269DFF" w14:textId="77777777" w:rsidR="00D94BC4" w:rsidRPr="00466440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466440">
        <w:rPr>
          <w:rFonts w:ascii="Calibri" w:hAnsi="Calibri" w:cs="Calibri"/>
          <w:b/>
          <w:color w:val="1A1A1A"/>
          <w:sz w:val="20"/>
          <w:szCs w:val="20"/>
        </w:rPr>
        <w:t xml:space="preserve">• Project Title &amp; Group: </w:t>
      </w:r>
      <w:r w:rsidRPr="00466440">
        <w:rPr>
          <w:rFonts w:ascii="Calibri" w:hAnsi="Calibri" w:cs="Calibri"/>
          <w:color w:val="2A2A2A"/>
          <w:sz w:val="20"/>
          <w:szCs w:val="20"/>
        </w:rPr>
        <w:t>ML-Based Liquidity and Trading-Risk Intelligence for Indian Equities  |  Group Number: 8</w:t>
      </w:r>
    </w:p>
    <w:p w14:paraId="0501321A" w14:textId="14F7CD6D" w:rsidR="00D94BC4" w:rsidRPr="00466440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466440">
        <w:rPr>
          <w:rFonts w:ascii="Calibri" w:hAnsi="Calibri" w:cs="Calibri"/>
          <w:b/>
          <w:color w:val="1A1A1A"/>
          <w:sz w:val="20"/>
          <w:szCs w:val="20"/>
        </w:rPr>
        <w:t xml:space="preserve">• Team Members &amp; Student IDs: </w:t>
      </w:r>
      <w:r w:rsidRPr="00466440">
        <w:rPr>
          <w:rFonts w:ascii="Calibri" w:hAnsi="Calibri" w:cs="Calibri"/>
          <w:color w:val="2A2A2A"/>
          <w:sz w:val="20"/>
          <w:szCs w:val="20"/>
        </w:rPr>
        <w:t>1. AARYAMAN PRATAP SINGH (</w:t>
      </w:r>
      <w:r w:rsidR="00E7526A">
        <w:rPr>
          <w:rFonts w:ascii="Calibri" w:hAnsi="Calibri" w:cs="Calibri"/>
          <w:color w:val="2A2A2A"/>
          <w:sz w:val="20"/>
          <w:szCs w:val="20"/>
        </w:rPr>
        <w:t>2</w:t>
      </w:r>
      <w:r w:rsidR="0005016E">
        <w:rPr>
          <w:rFonts w:ascii="Calibri" w:hAnsi="Calibri" w:cs="Calibri"/>
          <w:color w:val="2A2A2A"/>
          <w:sz w:val="20"/>
          <w:szCs w:val="20"/>
        </w:rPr>
        <w:t>40356</w:t>
      </w:r>
      <w:r w:rsidRPr="00466440">
        <w:rPr>
          <w:rFonts w:ascii="Calibri" w:hAnsi="Calibri" w:cs="Calibri"/>
          <w:color w:val="2A2A2A"/>
          <w:sz w:val="20"/>
          <w:szCs w:val="20"/>
        </w:rPr>
        <w:t>)  |  2. A</w:t>
      </w:r>
      <w:r w:rsidR="0005016E">
        <w:rPr>
          <w:rFonts w:ascii="Calibri" w:hAnsi="Calibri" w:cs="Calibri"/>
          <w:color w:val="2A2A2A"/>
          <w:sz w:val="20"/>
          <w:szCs w:val="20"/>
        </w:rPr>
        <w:t>DITYA NADAR</w:t>
      </w:r>
      <w:r w:rsidRPr="00466440">
        <w:rPr>
          <w:rFonts w:ascii="Calibri" w:hAnsi="Calibri" w:cs="Calibri"/>
          <w:color w:val="2A2A2A"/>
          <w:sz w:val="20"/>
          <w:szCs w:val="20"/>
        </w:rPr>
        <w:t xml:space="preserve"> (</w:t>
      </w:r>
      <w:r w:rsidR="004A6449">
        <w:rPr>
          <w:rFonts w:ascii="Calibri" w:hAnsi="Calibri" w:cs="Calibri"/>
          <w:color w:val="2A2A2A"/>
          <w:sz w:val="20"/>
          <w:szCs w:val="20"/>
        </w:rPr>
        <w:t>240368</w:t>
      </w:r>
      <w:r w:rsidRPr="00466440">
        <w:rPr>
          <w:rFonts w:ascii="Calibri" w:hAnsi="Calibri" w:cs="Calibri"/>
          <w:color w:val="2A2A2A"/>
          <w:sz w:val="20"/>
          <w:szCs w:val="20"/>
        </w:rPr>
        <w:t>)  |  3. ANANSHI SHARMA (</w:t>
      </w:r>
      <w:r w:rsidR="004A6449">
        <w:rPr>
          <w:rFonts w:ascii="Calibri" w:hAnsi="Calibri" w:cs="Calibri"/>
          <w:color w:val="2A2A2A"/>
          <w:sz w:val="20"/>
          <w:szCs w:val="20"/>
        </w:rPr>
        <w:t>240377</w:t>
      </w:r>
      <w:r w:rsidRPr="00466440">
        <w:rPr>
          <w:rFonts w:ascii="Calibri" w:hAnsi="Calibri" w:cs="Calibri"/>
          <w:color w:val="2A2A2A"/>
          <w:sz w:val="20"/>
          <w:szCs w:val="20"/>
        </w:rPr>
        <w:t>)  |  4. VIGHNESH SOMANI (</w:t>
      </w:r>
      <w:r w:rsidR="00BF4BE8">
        <w:rPr>
          <w:rFonts w:ascii="Calibri" w:hAnsi="Calibri" w:cs="Calibri"/>
          <w:color w:val="2A2A2A"/>
          <w:sz w:val="20"/>
          <w:szCs w:val="20"/>
        </w:rPr>
        <w:t>240946</w:t>
      </w:r>
      <w:r w:rsidRPr="00466440">
        <w:rPr>
          <w:rFonts w:ascii="Calibri" w:hAnsi="Calibri" w:cs="Calibri"/>
          <w:color w:val="2A2A2A"/>
          <w:sz w:val="20"/>
          <w:szCs w:val="20"/>
        </w:rPr>
        <w:t>)</w:t>
      </w:r>
    </w:p>
    <w:p w14:paraId="0223861F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0A359B">
        <w:rPr>
          <w:rFonts w:ascii="Calibri" w:hAnsi="Calibri" w:cs="Calibri"/>
          <w:b/>
          <w:color w:val="002080"/>
        </w:rPr>
        <w:t>2. Stakeholder and Problem</w:t>
      </w:r>
    </w:p>
    <w:p w14:paraId="507484AF" w14:textId="77777777" w:rsidR="00441DB7" w:rsidRPr="000A359B" w:rsidRDefault="00441DB7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6466DD32" w14:textId="77777777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Stakeholders &amp; Domain: </w:t>
      </w:r>
      <w:r w:rsidRPr="000A359B">
        <w:rPr>
          <w:rFonts w:ascii="Calibri" w:hAnsi="Calibri" w:cs="Calibri"/>
          <w:color w:val="2A2A2A"/>
          <w:sz w:val="20"/>
          <w:szCs w:val="20"/>
        </w:rPr>
        <w:t>Retail equity investors, portfolio managers, and risk analysts active in Indian equities (NSE).</w:t>
      </w:r>
    </w:p>
    <w:p w14:paraId="19472B70" w14:textId="77777777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Trading-Risk Problem &amp; Impact: </w:t>
      </w:r>
      <w:r w:rsidRPr="000A359B">
        <w:rPr>
          <w:rFonts w:ascii="Calibri" w:hAnsi="Calibri" w:cs="Calibri"/>
          <w:color w:val="2A2A2A"/>
          <w:sz w:val="20"/>
          <w:szCs w:val="20"/>
        </w:rPr>
        <w:t>Severe liquidity fragmentation across market-cap tiers leaves non-institutional participants vulnerable to sudden liquidity droughts, spread blowouts, and price gaps. Lacking costly real-time order books, stakeholders face severe execution slippage, portfolio concentration traps, and an inability to exit during stress.</w:t>
      </w:r>
    </w:p>
    <w:p w14:paraId="52267A02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0A359B">
        <w:rPr>
          <w:rFonts w:ascii="Calibri" w:hAnsi="Calibri" w:cs="Calibri"/>
          <w:b/>
          <w:color w:val="002080"/>
        </w:rPr>
        <w:t>3. Research Questions and Hypotheses</w:t>
      </w:r>
    </w:p>
    <w:p w14:paraId="6FA09919" w14:textId="77777777" w:rsidR="009C3B6D" w:rsidRPr="000A359B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53D781B0" w14:textId="77777777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Research Questions: </w:t>
      </w:r>
      <w:r w:rsidRPr="000A359B">
        <w:rPr>
          <w:rFonts w:ascii="Calibri" w:hAnsi="Calibri" w:cs="Calibri"/>
          <w:color w:val="2A2A2A"/>
          <w:sz w:val="20"/>
          <w:szCs w:val="20"/>
        </w:rPr>
        <w:t>Can daily OHLCV bars and proxy estimators reliably forecast high-risk liquidity regimes without intraday order books? How does liquidity risk vary across market caps, and does macro volatility (India VIX) amplify it?</w:t>
      </w:r>
    </w:p>
    <w:p w14:paraId="5ECD8AF7" w14:textId="77777777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Initial Testable Hypotheses: </w:t>
      </w:r>
      <w:r w:rsidRPr="000A359B">
        <w:rPr>
          <w:rFonts w:ascii="Calibri" w:hAnsi="Calibri" w:cs="Calibri"/>
          <w:color w:val="2A2A2A"/>
          <w:sz w:val="20"/>
          <w:szCs w:val="20"/>
        </w:rPr>
        <w:t>H1: Amihud illiquidity positively correlates with future high-risk liquidity events. H2: Volume droughts (&lt;20% of 20-day MA) precede increased price gaps. H3: Small-caps exhibit systematically higher Amihud ratios than large-caps. H4: Macro-volatility shocks amplify single-stock illiquidity.</w:t>
      </w:r>
    </w:p>
    <w:p w14:paraId="0B50A7AD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0A359B">
        <w:rPr>
          <w:rFonts w:ascii="Calibri" w:hAnsi="Calibri" w:cs="Calibri"/>
          <w:b/>
          <w:color w:val="002080"/>
        </w:rPr>
        <w:t>4. Data Sources</w:t>
      </w:r>
    </w:p>
    <w:p w14:paraId="45EFAAA0" w14:textId="77777777" w:rsidR="009C3B6D" w:rsidRPr="000A359B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48BC3241" w14:textId="77777777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Sources &amp; Scale: </w:t>
      </w:r>
      <w:r w:rsidRPr="000A359B">
        <w:rPr>
          <w:rFonts w:ascii="Calibri" w:hAnsi="Calibri" w:cs="Calibri"/>
          <w:color w:val="2A2A2A"/>
          <w:sz w:val="20"/>
          <w:szCs w:val="20"/>
        </w:rPr>
        <w:t>Daily OHLCV via Yahoo Finance API (yfinance, NSE .NS suffix) for 300 curated stocks (100 Large, 150 Mid, 50 Small-Cap) and 3 indices (NIFTY 50 [^NSEI], Bank Nifty [^NSEBANK], India VIX [^INDIAVIX]), plus regulatory event archives (SEBI, NSE, RBI).</w:t>
      </w:r>
    </w:p>
    <w:p w14:paraId="0AE7AB16" w14:textId="716AFA4E" w:rsidR="00D94BC4" w:rsidRPr="000A359B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0A359B">
        <w:rPr>
          <w:rFonts w:ascii="Calibri" w:hAnsi="Calibri" w:cs="Calibri"/>
          <w:b/>
          <w:color w:val="1A1A1A"/>
          <w:sz w:val="20"/>
          <w:szCs w:val="20"/>
        </w:rPr>
        <w:t xml:space="preserve">• Coverage, Scale &amp; Constraints: </w:t>
      </w:r>
      <w:r w:rsidRPr="000A359B">
        <w:rPr>
          <w:rFonts w:ascii="Calibri" w:hAnsi="Calibri" w:cs="Calibri"/>
          <w:color w:val="2A2A2A"/>
          <w:sz w:val="20"/>
          <w:szCs w:val="20"/>
        </w:rPr>
        <w:t>2018-01-01 to 2026-10-23 . 565,190 raw stock rows (223 full-history stocks, 77 legitimate post-2018 listings) +</w:t>
      </w:r>
      <w:r w:rsidR="00F80AB1">
        <w:rPr>
          <w:rFonts w:ascii="Calibri" w:hAnsi="Calibri" w:cs="Calibri"/>
          <w:color w:val="2A2A2A"/>
          <w:sz w:val="20"/>
          <w:szCs w:val="20"/>
        </w:rPr>
        <w:t>(NIFTY50 , BANKNIFTY ,INDIAVIX)</w:t>
      </w:r>
      <w:r w:rsidRPr="000A359B">
        <w:rPr>
          <w:rFonts w:ascii="Calibri" w:hAnsi="Calibri" w:cs="Calibri"/>
          <w:color w:val="2A2A2A"/>
          <w:sz w:val="20"/>
          <w:szCs w:val="20"/>
        </w:rPr>
        <w:t xml:space="preserve"> 6,499 </w:t>
      </w:r>
      <w:r w:rsidR="00F80AB1">
        <w:rPr>
          <w:rFonts w:ascii="Calibri" w:hAnsi="Calibri" w:cs="Calibri"/>
          <w:color w:val="2A2A2A"/>
          <w:sz w:val="20"/>
          <w:szCs w:val="20"/>
        </w:rPr>
        <w:t xml:space="preserve">Market </w:t>
      </w:r>
      <w:r w:rsidRPr="000A359B">
        <w:rPr>
          <w:rFonts w:ascii="Calibri" w:hAnsi="Calibri" w:cs="Calibri"/>
          <w:color w:val="2A2A2A"/>
          <w:sz w:val="20"/>
          <w:szCs w:val="20"/>
        </w:rPr>
        <w:t>index rows (571,689 total). Variables: OHLCV, returns, volatility, event distances. Constraints: No Level-2 order books; 4 special Saturday sessions omitted by data provider.</w:t>
      </w:r>
    </w:p>
    <w:p w14:paraId="7E069219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0A359B">
        <w:rPr>
          <w:rFonts w:ascii="Calibri" w:hAnsi="Calibri" w:cs="Calibri"/>
          <w:b/>
          <w:color w:val="002080"/>
        </w:rPr>
        <w:t>5. Integration Plan (SSOT)</w:t>
      </w:r>
    </w:p>
    <w:p w14:paraId="02C71963" w14:textId="77777777" w:rsidR="009C3B6D" w:rsidRPr="000A359B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279C45B7" w14:textId="77777777" w:rsidR="00D94BC4" w:rsidRPr="008A6CA4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8A6CA4">
        <w:rPr>
          <w:rFonts w:ascii="Calibri" w:hAnsi="Calibri" w:cs="Calibri"/>
          <w:b/>
          <w:color w:val="1A1A1A"/>
          <w:sz w:val="20"/>
          <w:szCs w:val="20"/>
        </w:rPr>
        <w:t xml:space="preserve">• SSOT Architecture &amp; Join Keys: </w:t>
      </w:r>
      <w:r w:rsidRPr="008A6CA4">
        <w:rPr>
          <w:rFonts w:ascii="Calibri" w:hAnsi="Calibri" w:cs="Calibri"/>
          <w:color w:val="2A2A2A"/>
          <w:sz w:val="20"/>
          <w:szCs w:val="20"/>
        </w:rPr>
        <w:t>Unified tabular Single Source of Truth (SSOT) joining stock OHLCV with market indices and event indicators using composite key (ticker, date) synchronized to the exchange calendar.</w:t>
      </w:r>
    </w:p>
    <w:p w14:paraId="69BA6AED" w14:textId="77777777" w:rsidR="00D94BC4" w:rsidRPr="008A6CA4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8A6CA4">
        <w:rPr>
          <w:rFonts w:ascii="Calibri" w:hAnsi="Calibri" w:cs="Calibri"/>
          <w:b/>
          <w:color w:val="1A1A1A"/>
          <w:sz w:val="20"/>
          <w:szCs w:val="20"/>
        </w:rPr>
        <w:t xml:space="preserve">• Data Quality &amp; Cleaning: </w:t>
      </w:r>
      <w:r w:rsidRPr="008A6CA4">
        <w:rPr>
          <w:rFonts w:ascii="Calibri" w:hAnsi="Calibri" w:cs="Calibri"/>
          <w:color w:val="2A2A2A"/>
          <w:sz w:val="20"/>
          <w:szCs w:val="20"/>
        </w:rPr>
        <w:t>Audited all 303 Parquets: 0 duplicate dates, 0 missing OHLCV values across 3.95M cells, 0 negative prices, 0 spread inversions. 100% raw-to-interim row preservation (565,190 stock rows). Extreme moves (&gt;300%) and zero volume flagged; forward-filled benchmark alignment handles non-trading index gaps. Remaining: Merging 55 features into processed dataset.</w:t>
      </w:r>
    </w:p>
    <w:p w14:paraId="63C54522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985919">
        <w:rPr>
          <w:rFonts w:ascii="Calibri" w:hAnsi="Calibri" w:cs="Calibri"/>
          <w:b/>
          <w:color w:val="002080"/>
        </w:rPr>
        <w:t>6. Methods and BADIR Workflow</w:t>
      </w:r>
    </w:p>
    <w:p w14:paraId="483766E9" w14:textId="77777777" w:rsidR="009C3B6D" w:rsidRPr="00985919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2AB470D3" w14:textId="77777777" w:rsidR="00D94BC4" w:rsidRPr="00985919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985919">
        <w:rPr>
          <w:rFonts w:ascii="Calibri" w:hAnsi="Calibri" w:cs="Calibri"/>
          <w:b/>
          <w:color w:val="1A1A1A"/>
          <w:sz w:val="20"/>
          <w:szCs w:val="20"/>
        </w:rPr>
        <w:t xml:space="preserve">• BADIR Framework Alignment: </w:t>
      </w:r>
      <w:r w:rsidRPr="00985919">
        <w:rPr>
          <w:rFonts w:ascii="Calibri" w:hAnsi="Calibri" w:cs="Calibri"/>
          <w:color w:val="2A2A2A"/>
          <w:sz w:val="20"/>
          <w:szCs w:val="20"/>
        </w:rPr>
        <w:t>1. Business Understanding: Scoped dual-output design (Composite LRS + ML Classifier). 2. Data Acquisition &amp; 3. Data Integration: Automated ingestion with retry logic; completed Phase 4 cleaning, calendar synchronization, and SSOT structuring.</w:t>
      </w:r>
    </w:p>
    <w:p w14:paraId="4AC0BC18" w14:textId="77777777" w:rsidR="00D94BC4" w:rsidRPr="00985919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985919">
        <w:rPr>
          <w:rFonts w:ascii="Calibri" w:hAnsi="Calibri" w:cs="Calibri"/>
          <w:b/>
          <w:color w:val="1A1A1A"/>
          <w:sz w:val="20"/>
          <w:szCs w:val="20"/>
        </w:rPr>
        <w:t xml:space="preserve">• Analysis, Modeling &amp; Reporting: </w:t>
      </w:r>
      <w:r w:rsidRPr="00985919">
        <w:rPr>
          <w:rFonts w:ascii="Calibri" w:hAnsi="Calibri" w:cs="Calibri"/>
          <w:color w:val="2A2A2A"/>
          <w:sz w:val="20"/>
          <w:szCs w:val="20"/>
        </w:rPr>
        <w:t>55 quantitative features (Amihud, Corwin-Schultz spread, volume z-scores, Parkinson volatility, beta). Rule-based Composite Liquidity-Risk Score (LRS, 0-100) for current state. Supervised classifiers (Logistic Regression baseline, Random Forest, HistGradientBoosting) predicting 5-day forward High-Risk Events (hre_5d). Unsupervised Isolation Forest for historical anomalies. Streamlit dashboard for monitoring.</w:t>
      </w:r>
    </w:p>
    <w:p w14:paraId="228BB596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745CE8">
        <w:rPr>
          <w:rFonts w:ascii="Calibri" w:hAnsi="Calibri" w:cs="Calibri"/>
          <w:b/>
          <w:color w:val="002080"/>
        </w:rPr>
        <w:t>7. Validation and Decision Value</w:t>
      </w:r>
    </w:p>
    <w:p w14:paraId="3402F6E6" w14:textId="77777777" w:rsidR="009C3B6D" w:rsidRPr="00745CE8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149FBC34" w14:textId="77777777" w:rsidR="00D94BC4" w:rsidRPr="00745CE8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745CE8">
        <w:rPr>
          <w:rFonts w:ascii="Calibri" w:hAnsi="Calibri" w:cs="Calibri"/>
          <w:b/>
          <w:color w:val="1A1A1A"/>
          <w:sz w:val="20"/>
          <w:szCs w:val="20"/>
        </w:rPr>
        <w:t xml:space="preserve">• Validation Strategy: </w:t>
      </w:r>
      <w:r w:rsidRPr="00745CE8">
        <w:rPr>
          <w:rFonts w:ascii="Calibri" w:hAnsi="Calibri" w:cs="Calibri"/>
          <w:color w:val="2A2A2A"/>
          <w:sz w:val="20"/>
          <w:szCs w:val="20"/>
        </w:rPr>
        <w:t>Strict chronological walk-forward validation (10 rolling folds) preventing temporal leakage (no random shuffling). Precision-Recall AUC (PR-AUC) and Brier score evaluated alongside ROC-AUC to address class imbalance (~10-20% positive class). Mann-Whitney U tests for segment divergence.</w:t>
      </w:r>
    </w:p>
    <w:p w14:paraId="5FADFE5D" w14:textId="77777777" w:rsidR="00D94BC4" w:rsidRPr="00745CE8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745CE8">
        <w:rPr>
          <w:rFonts w:ascii="Calibri" w:hAnsi="Calibri" w:cs="Calibri"/>
          <w:b/>
          <w:color w:val="1A1A1A"/>
          <w:sz w:val="20"/>
          <w:szCs w:val="20"/>
        </w:rPr>
        <w:t xml:space="preserve">• Decision Value: </w:t>
      </w:r>
      <w:r w:rsidRPr="00745CE8">
        <w:rPr>
          <w:rFonts w:ascii="Calibri" w:hAnsi="Calibri" w:cs="Calibri"/>
          <w:color w:val="2A2A2A"/>
          <w:sz w:val="20"/>
          <w:szCs w:val="20"/>
        </w:rPr>
        <w:t>Delivers an actionable early-warning signal (LRS bands, HRE probabilities) enabling stakeholders to dynamically resize positions, mitigate slippage, and avoid illiquid exit traps during market stress.</w:t>
      </w:r>
    </w:p>
    <w:p w14:paraId="07EE8FBA" w14:textId="77777777" w:rsidR="00D94BC4" w:rsidRDefault="00D94BC4" w:rsidP="00D94BC4">
      <w:pPr>
        <w:keepNext/>
        <w:pBdr>
          <w:bottom w:val="single" w:sz="6" w:space="1" w:color="auto"/>
        </w:pBdr>
        <w:spacing w:before="50" w:after="10" w:line="200" w:lineRule="auto"/>
        <w:rPr>
          <w:rFonts w:ascii="Calibri" w:hAnsi="Calibri" w:cs="Calibri"/>
          <w:b/>
          <w:color w:val="002080"/>
        </w:rPr>
      </w:pPr>
      <w:r w:rsidRPr="009C3B6D">
        <w:rPr>
          <w:rFonts w:ascii="Calibri" w:hAnsi="Calibri" w:cs="Calibri"/>
          <w:b/>
          <w:color w:val="002080"/>
        </w:rPr>
        <w:t>8. Limitations and Next Steps</w:t>
      </w:r>
    </w:p>
    <w:p w14:paraId="1B970DEF" w14:textId="77777777" w:rsidR="009C3B6D" w:rsidRPr="009C3B6D" w:rsidRDefault="009C3B6D" w:rsidP="00D94BC4">
      <w:pPr>
        <w:keepNext/>
        <w:spacing w:before="50" w:after="10" w:line="200" w:lineRule="auto"/>
        <w:rPr>
          <w:rFonts w:ascii="Calibri" w:hAnsi="Calibri" w:cs="Calibri"/>
          <w:b/>
          <w:color w:val="002080"/>
        </w:rPr>
      </w:pPr>
    </w:p>
    <w:p w14:paraId="08D89389" w14:textId="77777777" w:rsidR="00D94BC4" w:rsidRPr="00745CE8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745CE8">
        <w:rPr>
          <w:rFonts w:ascii="Calibri" w:hAnsi="Calibri" w:cs="Calibri"/>
          <w:b/>
          <w:color w:val="1A1A1A"/>
          <w:sz w:val="20"/>
          <w:szCs w:val="20"/>
        </w:rPr>
        <w:t xml:space="preserve">• Assumptions &amp; Limitations: </w:t>
      </w:r>
      <w:r w:rsidRPr="00745CE8">
        <w:rPr>
          <w:rFonts w:ascii="Calibri" w:hAnsi="Calibri" w:cs="Calibri"/>
          <w:color w:val="2A2A2A"/>
          <w:sz w:val="20"/>
          <w:szCs w:val="20"/>
        </w:rPr>
        <w:t>Reliance on daily proxy estimators rather than true Level-2 spreads; survivorship bias from current index constituents (mitigated by tracking); provider omission of special Saturday sessions.</w:t>
      </w:r>
    </w:p>
    <w:p w14:paraId="618BC73E" w14:textId="77777777" w:rsidR="00D94BC4" w:rsidRPr="00745CE8" w:rsidRDefault="00D94BC4" w:rsidP="00D94BC4">
      <w:pPr>
        <w:spacing w:after="24" w:line="192" w:lineRule="auto"/>
        <w:rPr>
          <w:rFonts w:ascii="Calibri" w:hAnsi="Calibri" w:cs="Calibri"/>
          <w:color w:val="2A2A2A"/>
          <w:sz w:val="20"/>
          <w:szCs w:val="20"/>
        </w:rPr>
      </w:pPr>
      <w:r w:rsidRPr="00745CE8">
        <w:rPr>
          <w:rFonts w:ascii="Calibri" w:hAnsi="Calibri" w:cs="Calibri"/>
          <w:b/>
          <w:color w:val="1A1A1A"/>
          <w:sz w:val="20"/>
          <w:szCs w:val="20"/>
        </w:rPr>
        <w:t xml:space="preserve">• Milestones &amp; Deviations: </w:t>
      </w:r>
      <w:r w:rsidRPr="00745CE8">
        <w:rPr>
          <w:rFonts w:ascii="Calibri" w:hAnsi="Calibri" w:cs="Calibri"/>
          <w:color w:val="2A2A2A"/>
          <w:sz w:val="20"/>
          <w:szCs w:val="20"/>
        </w:rPr>
        <w:t>1. Generate 55 features across all 300 stocks (Phase 5). 2. Execute formal EDA and hypothesis testing (Phase 6). 3. Calibrate LRS weights and label hre_5d (Phase 7). 4. Train walk-forward ML models (Phase 8). Deviations: None; strictly adheres to approved blueprint.</w:t>
      </w:r>
    </w:p>
    <w:p w14:paraId="73274E2D" w14:textId="69BF0E12" w:rsidR="00E128A7" w:rsidRDefault="00E128A7"/>
    <w:sectPr w:rsidR="00E128A7" w:rsidSect="00D94BC4">
      <w:pgSz w:w="11907" w:h="16839"/>
      <w:pgMar w:top="648" w:right="720" w:bottom="64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C4"/>
    <w:rsid w:val="0005016E"/>
    <w:rsid w:val="0008497A"/>
    <w:rsid w:val="000A359B"/>
    <w:rsid w:val="000B2F2B"/>
    <w:rsid w:val="00441DB7"/>
    <w:rsid w:val="00466440"/>
    <w:rsid w:val="004A6449"/>
    <w:rsid w:val="00506E7D"/>
    <w:rsid w:val="005C0872"/>
    <w:rsid w:val="00602EE4"/>
    <w:rsid w:val="0061130A"/>
    <w:rsid w:val="00745CE8"/>
    <w:rsid w:val="00841586"/>
    <w:rsid w:val="008A6CA4"/>
    <w:rsid w:val="00985919"/>
    <w:rsid w:val="009C3B6D"/>
    <w:rsid w:val="00A25D97"/>
    <w:rsid w:val="00B22756"/>
    <w:rsid w:val="00BF4BE8"/>
    <w:rsid w:val="00D94BC4"/>
    <w:rsid w:val="00E128A7"/>
    <w:rsid w:val="00E7526A"/>
    <w:rsid w:val="00F80AB1"/>
    <w:rsid w:val="00FA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C13EC"/>
  <w15:chartTrackingRefBased/>
  <w15:docId w15:val="{49A2E8A6-6761-485E-86B7-A1D954F1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Somani</dc:creator>
  <cp:keywords/>
  <dc:description/>
  <cp:lastModifiedBy>Vighnesh Somani</cp:lastModifiedBy>
  <cp:revision>19</cp:revision>
  <dcterms:created xsi:type="dcterms:W3CDTF">2026-10-24T20:47:00Z</dcterms:created>
  <dcterms:modified xsi:type="dcterms:W3CDTF">2026-10-24T21:37:00Z</dcterms:modified>
</cp:coreProperties>
</file>