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OneToken Supply Chain - ER Diagram (Chen Notation)</w:t>
      </w:r>
    </w:p>
    <w:p>
      <w:r>
        <w:rPr>
          <w:b/>
          <w:bCs/>
        </w:rPr>
        <w:t xml:space="preserve">
This document provides a classic Chen notation ERD representation for the OneToken Supply Chain platform.</w:t>
      </w:r>
    </w:p>
    <w:p>
      <w:pPr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Notation Legend</w:t>
      </w:r>
    </w:p>
    <w:p>
      <w:r>
        <w:t xml:space="preserve">- Rectangles: Entities (User, Product, Order, etc.)</w:t>
      </w:r>
    </w:p>
    <w:p>
      <w:r>
        <w:t xml:space="preserve">- Ovals: Attributes (Name, Email, Price, etc.)</w:t>
      </w:r>
    </w:p>
    <w:p>
      <w:r>
        <w:t xml:space="preserve">- Diamonds: Relationships (Owns, Buys, Tracks, etc.)</w:t>
      </w:r>
    </w:p>
    <w:p>
      <w:r>
        <w:t xml:space="preserve">- Underlined Attributes: Primary Keys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790bff0db2a7958d79595253b26259e2b40a9a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2026-05-06T10:11:25.314Z</dcterms:created>
  <dcterms:modified xsi:type="dcterms:W3CDTF">2026-05-06T10:11:25.324Z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