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0B2740" w:val="clear"/>
            <w:tcMar>
              <w:top w:type="dxa" w:w="700"/>
              <w:left w:type="dxa" w:w="500"/>
              <w:bottom w:type="dxa" w:w="700"/>
              <w:right w:type="dxa" w:w="500"/>
            </w:tcMar>
          </w:tcPr>
          <w:p>
            <w:pPr>
              <w:spacing w:after="120"/>
            </w:pPr>
            <w:r>
              <w:rPr>
                <w:b/>
                <w:bCs/>
                <w:color w:val="C9982F"/>
                <w:spacing w:val="30"/>
                <w:sz w:val="22"/>
                <w:szCs w:val="22"/>
              </w:rPr>
              <w:t xml:space="preserve">ENGINEERING DESIGN DOCUMENT</w:t>
            </w:r>
          </w:p>
          <w:p>
            <w:pPr>
              <w:spacing w:after="40"/>
            </w:pPr>
            <w:r>
              <w:rPr>
                <w:b/>
                <w:bCs/>
                <w:color w:val="FFFFFF"/>
                <w:sz w:val="46"/>
                <w:szCs w:val="46"/>
              </w:rPr>
              <w:t xml:space="preserve">DevSecOps Pipeline for a</w:t>
            </w:r>
          </w:p>
          <w:p>
            <w:pPr>
              <w:spacing w:after="260"/>
            </w:pPr>
            <w:r>
              <w:rPr>
                <w:b/>
                <w:bCs/>
                <w:color w:val="FFFFFF"/>
                <w:sz w:val="46"/>
                <w:szCs w:val="46"/>
              </w:rPr>
              <w:t xml:space="preserve">Password Reset Platform</w:t>
            </w:r>
          </w:p>
          <w:p>
            <w:pPr>
              <w:spacing w:after="30"/>
            </w:pPr>
            <w:r>
              <w:rPr>
                <w:b/>
                <w:bCs/>
                <w:color w:val="BFD4E6"/>
                <w:sz w:val="24"/>
                <w:szCs w:val="24"/>
              </w:rPr>
              <w:t xml:space="preserve">TASK 3 — Requirements, Architecture &amp; Technology Setup</w:t>
            </w:r>
          </w:p>
          <w:p>
            <w:pPr>
              <w:pBdr>
                <w:top w:val="single" w:color="C9982F" w:sz="8" w:space="12"/>
              </w:pBdr>
              <w:spacing w:before="40"/>
            </w:pPr>
            <w:r>
              <w:rPr>
                <w:sz w:val="4"/>
                <w:szCs w:val="4"/>
              </w:rPr>
              <w:t xml:space="preserve"/>
            </w:r>
          </w:p>
        </w:tc>
      </w:tr>
    </w:tbl>
    <w:p>
      <w:pPr>
        <w:spacing w:after="0" w:before="500"/>
      </w:pPr>
      <w:r>
        <w:t xml:space="preserve"/>
      </w:r>
    </w:p>
    <w:tbl>
      <w:tblPr>
        <w:tblW w:type="pct" w:w="100%"/>
        <w:tblBorders>
          <w:top w:val="single" w:color="D9DEE3" w:sz="4"/>
          <w:left w:val="single" w:color="D9DEE3" w:sz="4"/>
          <w:bottom w:val="single" w:color="D9DEE3" w:sz="4"/>
          <w:right w:val="single" w:color="D9DEE3" w:sz="4"/>
          <w:insideH w:val="single" w:color="D9DEE3" w:sz="4"/>
          <w:insideV w:val="single" w:color="D9DEE3" w:sz="4"/>
        </w:tblBorders>
      </w:tblPr>
      <w:tblGrid>
        <w:gridCol w:w="3200"/>
        <w:gridCol w:w="6200"/>
      </w:tblGrid>
      <w:tr>
        <w:tc>
          <w:tcPr>
            <w:tcW w:type="dxa" w:w="3200"/>
            <w:shd w:fill="F4F6F8" w:val="clear"/>
            <w:tcMar>
              <w:top w:type="dxa" w:w="90"/>
              <w:left w:type="dxa" w:w="120"/>
              <w:bottom w:type="dxa" w:w="90"/>
              <w:right w:type="dxa" w:w="120"/>
            </w:tcMar>
            <w:vAlign w:val="center"/>
          </w:tcPr>
          <w:p>
            <w:pPr>
              <w:jc w:val="left"/>
            </w:pPr>
            <w:r>
              <w:rPr>
                <w:b/>
                <w:bCs/>
                <w:i w:val="false"/>
                <w:iCs w:val="false"/>
                <w:color w:val="123C5E"/>
                <w:sz w:val="19"/>
                <w:szCs w:val="19"/>
              </w:rPr>
              <w:t xml:space="preserve">Document Version</w:t>
            </w:r>
          </w:p>
        </w:tc>
        <w:tc>
          <w:tcPr>
            <w:tcW w:type="dxa" w:w="6200"/>
            <w:shd w:fill="FFFFFF" w:val="clear"/>
            <w:tcMar>
              <w:top w:type="dxa" w:w="90"/>
              <w:left w:type="dxa" w:w="120"/>
              <w:bottom w:type="dxa" w:w="90"/>
              <w:right w:type="dxa" w:w="120"/>
            </w:tcMar>
            <w:vAlign w:val="center"/>
          </w:tcPr>
          <w:p>
            <w:pPr>
              <w:jc w:val="left"/>
            </w:pPr>
            <w:r>
              <w:rPr>
                <w:b w:val="false"/>
                <w:bCs w:val="false"/>
                <w:i w:val="false"/>
                <w:iCs w:val="false"/>
                <w:color w:val="1B1F23"/>
                <w:sz w:val="19"/>
                <w:szCs w:val="19"/>
              </w:rPr>
              <w:t xml:space="preserve">1.0</w:t>
            </w:r>
          </w:p>
        </w:tc>
      </w:tr>
      <w:tr>
        <w:tc>
          <w:tcPr>
            <w:tcW w:type="dxa" w:w="3200"/>
            <w:shd w:fill="F4F6F8" w:val="clear"/>
            <w:tcMar>
              <w:top w:type="dxa" w:w="90"/>
              <w:left w:type="dxa" w:w="120"/>
              <w:bottom w:type="dxa" w:w="90"/>
              <w:right w:type="dxa" w:w="120"/>
            </w:tcMar>
            <w:vAlign w:val="center"/>
          </w:tcPr>
          <w:p>
            <w:pPr>
              <w:jc w:val="left"/>
            </w:pPr>
            <w:r>
              <w:rPr>
                <w:b/>
                <w:bCs/>
                <w:i w:val="false"/>
                <w:iCs w:val="false"/>
                <w:color w:val="123C5E"/>
                <w:sz w:val="19"/>
                <w:szCs w:val="19"/>
              </w:rPr>
              <w:t xml:space="preserve">Author</w:t>
            </w:r>
          </w:p>
        </w:tc>
        <w:tc>
          <w:tcPr>
            <w:tcW w:type="dxa" w:w="6200"/>
            <w:shd w:fill="FFFFFF" w:val="clear"/>
            <w:tcMar>
              <w:top w:type="dxa" w:w="90"/>
              <w:left w:type="dxa" w:w="120"/>
              <w:bottom w:type="dxa" w:w="90"/>
              <w:right w:type="dxa" w:w="120"/>
            </w:tcMar>
            <w:vAlign w:val="center"/>
          </w:tcPr>
          <w:p>
            <w:pPr>
              <w:jc w:val="left"/>
            </w:pPr>
            <w:r>
              <w:rPr>
                <w:b w:val="false"/>
                <w:bCs w:val="false"/>
                <w:i w:val="false"/>
                <w:iCs w:val="false"/>
                <w:color w:val="1B1F23"/>
                <w:sz w:val="19"/>
                <w:szCs w:val="19"/>
              </w:rPr>
              <w:t xml:space="preserve">DevSecOps Lead</w:t>
            </w:r>
          </w:p>
        </w:tc>
      </w:tr>
      <w:tr>
        <w:tc>
          <w:tcPr>
            <w:tcW w:type="dxa" w:w="3200"/>
            <w:shd w:fill="F4F6F8" w:val="clear"/>
            <w:tcMar>
              <w:top w:type="dxa" w:w="90"/>
              <w:left w:type="dxa" w:w="120"/>
              <w:bottom w:type="dxa" w:w="90"/>
              <w:right w:type="dxa" w:w="120"/>
            </w:tcMar>
            <w:vAlign w:val="center"/>
          </w:tcPr>
          <w:p>
            <w:pPr>
              <w:jc w:val="left"/>
            </w:pPr>
            <w:r>
              <w:rPr>
                <w:b/>
                <w:bCs/>
                <w:i w:val="false"/>
                <w:iCs w:val="false"/>
                <w:color w:val="123C5E"/>
                <w:sz w:val="19"/>
                <w:szCs w:val="19"/>
              </w:rPr>
              <w:t xml:space="preserve">Target Security Standards</w:t>
            </w:r>
          </w:p>
        </w:tc>
        <w:tc>
          <w:tcPr>
            <w:tcW w:type="dxa" w:w="6200"/>
            <w:shd w:fill="FFFFFF" w:val="clear"/>
            <w:tcMar>
              <w:top w:type="dxa" w:w="90"/>
              <w:left w:type="dxa" w:w="120"/>
              <w:bottom w:type="dxa" w:w="90"/>
              <w:right w:type="dxa" w:w="120"/>
            </w:tcMar>
            <w:vAlign w:val="center"/>
          </w:tcPr>
          <w:p>
            <w:pPr>
              <w:jc w:val="left"/>
            </w:pPr>
            <w:r>
              <w:rPr>
                <w:b w:val="false"/>
                <w:bCs w:val="false"/>
                <w:i w:val="false"/>
                <w:iCs w:val="false"/>
                <w:color w:val="1B1F23"/>
                <w:sz w:val="19"/>
                <w:szCs w:val="19"/>
              </w:rPr>
              <w:t xml:space="preserve">NIST SP 800-63B (Digital Identity Guidelines)  ·  OWASP API Security Top 10</w:t>
            </w:r>
          </w:p>
        </w:tc>
      </w:tr>
      <w:tr>
        <w:tc>
          <w:tcPr>
            <w:tcW w:type="dxa" w:w="3200"/>
            <w:shd w:fill="F4F6F8" w:val="clear"/>
            <w:tcMar>
              <w:top w:type="dxa" w:w="90"/>
              <w:left w:type="dxa" w:w="120"/>
              <w:bottom w:type="dxa" w:w="90"/>
              <w:right w:type="dxa" w:w="120"/>
            </w:tcMar>
            <w:vAlign w:val="center"/>
          </w:tcPr>
          <w:p>
            <w:pPr>
              <w:jc w:val="left"/>
            </w:pPr>
            <w:r>
              <w:rPr>
                <w:b/>
                <w:bCs/>
                <w:i w:val="false"/>
                <w:iCs w:val="false"/>
                <w:color w:val="123C5E"/>
                <w:sz w:val="19"/>
                <w:szCs w:val="19"/>
              </w:rPr>
              <w:t xml:space="preserve">Classification</w:t>
            </w:r>
          </w:p>
        </w:tc>
        <w:tc>
          <w:tcPr>
            <w:tcW w:type="dxa" w:w="6200"/>
            <w:shd w:fill="FFFFFF" w:val="clear"/>
            <w:tcMar>
              <w:top w:type="dxa" w:w="90"/>
              <w:left w:type="dxa" w:w="120"/>
              <w:bottom w:type="dxa" w:w="90"/>
              <w:right w:type="dxa" w:w="120"/>
            </w:tcMar>
            <w:vAlign w:val="center"/>
          </w:tcPr>
          <w:p>
            <w:pPr>
              <w:jc w:val="left"/>
            </w:pPr>
            <w:r>
              <w:rPr>
                <w:b w:val="false"/>
                <w:bCs w:val="false"/>
                <w:i w:val="false"/>
                <w:iCs w:val="false"/>
                <w:color w:val="1B1F23"/>
                <w:sz w:val="19"/>
                <w:szCs w:val="19"/>
              </w:rPr>
              <w:t xml:space="preserve">Internal — Engineering Design Document</w:t>
            </w:r>
          </w:p>
        </w:tc>
      </w:tr>
      <w:tr>
        <w:tc>
          <w:tcPr>
            <w:tcW w:type="dxa" w:w="3200"/>
            <w:shd w:fill="F4F6F8" w:val="clear"/>
            <w:tcMar>
              <w:top w:type="dxa" w:w="90"/>
              <w:left w:type="dxa" w:w="120"/>
              <w:bottom w:type="dxa" w:w="90"/>
              <w:right w:type="dxa" w:w="120"/>
            </w:tcMar>
            <w:vAlign w:val="center"/>
          </w:tcPr>
          <w:p>
            <w:pPr>
              <w:jc w:val="left"/>
            </w:pPr>
            <w:r>
              <w:rPr>
                <w:b/>
                <w:bCs/>
                <w:i w:val="false"/>
                <w:iCs w:val="false"/>
                <w:color w:val="123C5E"/>
                <w:sz w:val="19"/>
                <w:szCs w:val="19"/>
              </w:rPr>
              <w:t xml:space="preserve">Status</w:t>
            </w:r>
          </w:p>
        </w:tc>
        <w:tc>
          <w:tcPr>
            <w:tcW w:type="dxa" w:w="6200"/>
            <w:shd w:fill="FFFFFF" w:val="clear"/>
            <w:tcMar>
              <w:top w:type="dxa" w:w="90"/>
              <w:left w:type="dxa" w:w="120"/>
              <w:bottom w:type="dxa" w:w="90"/>
              <w:right w:type="dxa" w:w="120"/>
            </w:tcMar>
            <w:vAlign w:val="center"/>
          </w:tcPr>
          <w:p>
            <w:pPr>
              <w:jc w:val="left"/>
            </w:pPr>
            <w:r>
              <w:rPr>
                <w:b/>
                <w:bCs/>
                <w:i w:val="false"/>
                <w:iCs w:val="false"/>
                <w:color w:val="8A6D1D"/>
                <w:sz w:val="19"/>
                <w:szCs w:val="19"/>
              </w:rPr>
              <w:t xml:space="preserve">Draft for Architecture Review Board (ARB) Approval</w:t>
            </w:r>
          </w:p>
        </w:tc>
      </w:tr>
    </w:tbl>
    <w:p>
      <w:pPr>
        <w:spacing w:before="700"/>
        <w:jc w:val="center"/>
      </w:pPr>
      <w:r>
        <w:rPr>
          <w:i/>
          <w:iCs/>
          <w:color w:val="3A4552"/>
          <w:sz w:val="20"/>
          <w:szCs w:val="20"/>
        </w:rPr>
        <w:t xml:space="preserve">✦  Zero Standing Secrets   ·   Defense-in-Depth Segmentation   ·   Gate-Enforced DevSecOps  ✦</w:t>
      </w:r>
    </w:p>
    <w:p>
      <w:r>
        <w:br w:type="page"/>
      </w:r>
    </w:p>
    <w:p>
      <w:pPr>
        <w:sectPr>
          <w:pgSz w:w="12240" w:h="15840" w:orient="portrait"/>
          <w:pgMar w:top="720" w:right="500" w:bottom="900" w:left="500" w:header="708" w:footer="708" w:gutter="0"/>
          <w:pgNumType/>
          <w:docGrid w:linePitch="360"/>
        </w:sectPr>
      </w:pPr>
    </w:p>
    <w:p>
      <w:pPr>
        <w:pStyle w:val="Heading1"/>
        <w:pBdr>
          <w:left w:val="single" w:color="123C5E" w:sz="24" w:space="8"/>
        </w:pBdr>
        <w:spacing w:after="200" w:before="420"/>
        <w:ind w:left="0"/>
      </w:pPr>
      <w:r>
        <w:rPr>
          <w:b/>
          <w:bCs/>
          <w:color w:val="123C5E"/>
        </w:rPr>
        <w:t xml:space="preserve">  1.  Purpose &amp; Scope</w:t>
      </w:r>
    </w:p>
    <w:p>
      <w:pPr>
        <w:spacing w:after="160" w:line="288"/>
        <w:jc w:val="both"/>
      </w:pPr>
      <w:r>
        <w:rPr>
          <w:b w:val="false"/>
          <w:bCs w:val="false"/>
          <w:i w:val="false"/>
          <w:iCs w:val="false"/>
          <w:color w:val="1B1F23"/>
          <w:sz w:val="21"/>
          <w:szCs w:val="21"/>
        </w:rPr>
        <w:t xml:space="preserve">This document defines the minimum viable product (MVP) system architecture, technology stack, functional requirements implementation strategy, and DevSecOps tooling matrix for the Password Reset Platform (PRP). The PRP is a self-service, audit-compliant workflow system that reduces IT helpdesk ticket volume for credential recovery while enforcing NIST SP 800-63B authentication assurance controls and OWASP API Security best practices across the full software delivery lifecycle (SDLC) — from local development through CI/CD to containerized deployment.</w:t>
      </w:r>
    </w:p>
    <w:tbl>
      <w:tblPr>
        <w:tblW w:type="pct" w:w="100%"/>
        <w:tblBorders>
          <w:top w:val="single" w:color="123C5E" w:sz="4"/>
          <w:left w:val="single" w:color="123C5E" w:sz="30"/>
          <w:bottom w:val="single" w:color="123C5E" w:sz="4"/>
          <w:right w:val="single" w:color="123C5E" w:sz="4"/>
          <w:insideH w:val="none" w:color="FFFFFF" w:sz="0"/>
          <w:insideV w:val="none" w:color="FFFFFF" w:sz="0"/>
        </w:tblBorders>
      </w:tblPr>
      <w:tblGrid>
        <w:gridCol w:w="100"/>
      </w:tblGrid>
      <w:tr>
        <w:tc>
          <w:tcPr>
            <w:shd w:fill="E1F3EC" w:val="clear"/>
            <w:tcMar>
              <w:top w:type="dxa" w:w="160"/>
              <w:left w:type="dxa" w:w="220"/>
              <w:bottom w:type="dxa" w:w="160"/>
              <w:right w:type="dxa" w:w="220"/>
            </w:tcMar>
          </w:tcPr>
          <w:p>
            <w:pPr>
              <w:spacing w:after="60"/>
            </w:pPr>
            <w:r>
              <w:rPr>
                <w:b/>
                <w:bCs/>
                <w:color w:val="123C5E"/>
                <w:sz w:val="20"/>
                <w:szCs w:val="20"/>
              </w:rPr>
              <w:t xml:space="preserve">DESIGN INVARIANT</w:t>
            </w:r>
          </w:p>
          <w:p>
            <w:r>
              <w:rPr>
                <w:i/>
                <w:iCs/>
                <w:color w:val="1B1F23"/>
                <w:sz w:val="20"/>
                <w:szCs w:val="20"/>
              </w:rPr>
              <w:t xml:space="preserve">The architecture treats the pipeline itself — build tooling, dependency chain, and container artifacts — as a first-class attack surface. Security-by-design, zero standing secrets, and defense-in-depth network segmentation are non-negotiable constraints, not optional enhancements.</w:t>
            </w:r>
          </w:p>
        </w:tc>
      </w:tr>
    </w:tbl>
    <w:p>
      <w:pPr>
        <w:spacing w:before="260"/>
      </w:pPr>
      <w:r>
        <w:t xml:space="preserve"/>
      </w:r>
    </w:p>
    <w:p>
      <w:pPr>
        <w:pStyle w:val="Heading1"/>
        <w:pBdr>
          <w:left w:val="single" w:color="123C5E" w:sz="24" w:space="8"/>
        </w:pBdr>
        <w:spacing w:after="200" w:before="420"/>
        <w:ind w:left="0"/>
      </w:pPr>
      <w:r>
        <w:rPr>
          <w:b/>
          <w:bCs/>
          <w:color w:val="123C5E"/>
        </w:rPr>
        <w:t xml:space="preserve">  2.  System Architecture Overview</w:t>
      </w:r>
    </w:p>
    <w:p>
      <w:pPr>
        <w:pStyle w:val="Heading2"/>
        <w:spacing w:after="120" w:before="200"/>
      </w:pPr>
      <w:r>
        <w:rPr>
          <w:b/>
          <w:bCs/>
          <w:color w:val="3A4552"/>
          <w:sz w:val="24"/>
          <w:szCs w:val="24"/>
        </w:rPr>
        <w:t xml:space="preserve">2.1  Architecture Model</w:t>
      </w:r>
    </w:p>
    <w:p>
      <w:pPr>
        <w:spacing w:after="160" w:line="288"/>
        <w:jc w:val="left"/>
      </w:pPr>
      <w:r>
        <w:rPr>
          <w:b w:val="false"/>
          <w:bCs w:val="false"/>
          <w:i w:val="false"/>
          <w:iCs w:val="false"/>
          <w:color w:val="1B1F23"/>
          <w:sz w:val="21"/>
          <w:szCs w:val="21"/>
        </w:rPr>
        <w:t xml:space="preserve">The PRP employs a containerized 3-Tier Web Architecture with hard network isolation boundaries enforced at the subnet level. Each tier is deployed as an independent container / service group, communicating only through explicitly whitelisted ports, with no tier possessing broader network reach than its function requires (principle of least network privilege).</w:t>
      </w:r>
    </w:p>
    <w:tbl>
      <w:tblPr>
        <w:tblW w:type="pct" w:w="100%"/>
        <w:tblBorders>
          <w:top w:val="single" w:color="C9CFD6" w:sz="4"/>
          <w:left w:val="single" w:color="C9CFD6" w:sz="4"/>
          <w:bottom w:val="single" w:color="C9CFD6" w:sz="4"/>
          <w:right w:val="single" w:color="C9CFD6" w:sz="4"/>
          <w:insideH w:val="single" w:color="C9CFD6" w:sz="4"/>
          <w:insideV w:val="single" w:color="C9CFD6" w:sz="4"/>
        </w:tblBorders>
      </w:tblPr>
      <w:tblGrid>
        <w:gridCol w:w="3500"/>
        <w:gridCol w:w="2900"/>
        <w:gridCol w:w="2900"/>
      </w:tblGrid>
      <w:tr>
        <w:trPr>
          <w:tblHeader/>
        </w:trPr>
        <w:tc>
          <w:tcPr>
            <w:tcW w:type="dxa" w:w="3500"/>
            <w:shd w:fill="123C5E" w:val="clear"/>
            <w:tcMar>
              <w:top w:type="dxa" w:w="100"/>
              <w:left w:type="dxa" w:w="120"/>
              <w:bottom w:type="dxa" w:w="100"/>
              <w:right w:type="dxa" w:w="120"/>
            </w:tcMar>
            <w:vAlign w:val="center"/>
          </w:tcPr>
          <w:p>
            <w:pPr>
              <w:jc w:val="left"/>
            </w:pPr>
            <w:r>
              <w:rPr>
                <w:b/>
                <w:bCs/>
                <w:i w:val="false"/>
                <w:iCs w:val="false"/>
                <w:color w:val="FFFFFF"/>
                <w:sz w:val="20"/>
                <w:szCs w:val="20"/>
              </w:rPr>
              <w:t xml:space="preserve">Tier</w:t>
            </w:r>
          </w:p>
        </w:tc>
        <w:tc>
          <w:tcPr>
            <w:tcW w:type="dxa" w:w="2900"/>
            <w:shd w:fill="123C5E" w:val="clear"/>
            <w:tcMar>
              <w:top w:type="dxa" w:w="100"/>
              <w:left w:type="dxa" w:w="120"/>
              <w:bottom w:type="dxa" w:w="100"/>
              <w:right w:type="dxa" w:w="120"/>
            </w:tcMar>
            <w:vAlign w:val="center"/>
          </w:tcPr>
          <w:p>
            <w:pPr>
              <w:jc w:val="left"/>
            </w:pPr>
            <w:r>
              <w:rPr>
                <w:b/>
                <w:bCs/>
                <w:i w:val="false"/>
                <w:iCs w:val="false"/>
                <w:color w:val="FFFFFF"/>
                <w:sz w:val="20"/>
                <w:szCs w:val="20"/>
              </w:rPr>
              <w:t xml:space="preserve">Zone</w:t>
            </w:r>
          </w:p>
        </w:tc>
        <w:tc>
          <w:tcPr>
            <w:tcW w:type="dxa" w:w="2900"/>
            <w:shd w:fill="123C5E" w:val="clear"/>
            <w:tcMar>
              <w:top w:type="dxa" w:w="100"/>
              <w:left w:type="dxa" w:w="120"/>
              <w:bottom w:type="dxa" w:w="100"/>
              <w:right w:type="dxa" w:w="120"/>
            </w:tcMar>
            <w:vAlign w:val="center"/>
          </w:tcPr>
          <w:p>
            <w:pPr>
              <w:jc w:val="left"/>
            </w:pPr>
            <w:r>
              <w:rPr>
                <w:b/>
                <w:bCs/>
                <w:i w:val="false"/>
                <w:iCs w:val="false"/>
                <w:color w:val="FFFFFF"/>
                <w:sz w:val="20"/>
                <w:szCs w:val="20"/>
              </w:rPr>
              <w:t xml:space="preserve">Trust Level</w:t>
            </w:r>
          </w:p>
        </w:tc>
      </w:tr>
      <w:tr>
        <w:tc>
          <w:tcPr>
            <w:tcW w:type="dxa" w:w="3500"/>
            <w:shd w:fill="FBEAEA" w:val="clear"/>
            <w:tcMar>
              <w:top w:type="dxa" w:w="90"/>
              <w:left w:type="dxa" w:w="120"/>
              <w:bottom w:type="dxa" w:w="90"/>
              <w:right w:type="dxa" w:w="120"/>
            </w:tcMar>
            <w:vAlign w:val="center"/>
          </w:tcPr>
          <w:p>
            <w:pPr>
              <w:jc w:val="left"/>
            </w:pPr>
            <w:r>
              <w:rPr>
                <w:b w:val="false"/>
                <w:bCs w:val="false"/>
                <w:i w:val="false"/>
                <w:iCs w:val="false"/>
                <w:color w:val="1B1F23"/>
                <w:sz w:val="19"/>
                <w:szCs w:val="19"/>
              </w:rPr>
              <w:t xml:space="preserve">Client Layer</w:t>
            </w:r>
          </w:p>
        </w:tc>
        <w:tc>
          <w:tcPr>
            <w:tcW w:type="dxa" w:w="2900"/>
            <w:shd w:fill="FBEAEA" w:val="clear"/>
            <w:tcMar>
              <w:top w:type="dxa" w:w="90"/>
              <w:left w:type="dxa" w:w="120"/>
              <w:bottom w:type="dxa" w:w="90"/>
              <w:right w:type="dxa" w:w="120"/>
            </w:tcMar>
            <w:vAlign w:val="center"/>
          </w:tcPr>
          <w:p>
            <w:pPr>
              <w:jc w:val="left"/>
            </w:pPr>
            <w:r>
              <w:rPr>
                <w:b w:val="false"/>
                <w:bCs w:val="false"/>
                <w:i w:val="false"/>
                <w:iCs w:val="false"/>
                <w:color w:val="1B1F23"/>
                <w:sz w:val="19"/>
                <w:szCs w:val="19"/>
              </w:rPr>
              <w:t xml:space="preserve">Public Internet</w:t>
            </w:r>
          </w:p>
        </w:tc>
        <w:tc>
          <w:tcPr>
            <w:tcW w:type="dxa" w:w="2900"/>
            <w:shd w:fill="FBEAEA" w:val="clear"/>
            <w:tcMar>
              <w:top w:type="dxa" w:w="90"/>
              <w:left w:type="dxa" w:w="120"/>
              <w:bottom w:type="dxa" w:w="90"/>
              <w:right w:type="dxa" w:w="120"/>
            </w:tcMar>
            <w:vAlign w:val="center"/>
          </w:tcPr>
          <w:p>
            <w:pPr>
              <w:jc w:val="left"/>
            </w:pPr>
            <w:r>
              <w:rPr>
                <w:b/>
                <w:bCs/>
                <w:i w:val="false"/>
                <w:iCs w:val="false"/>
                <w:color w:val="B33A3A"/>
                <w:sz w:val="19"/>
                <w:szCs w:val="19"/>
              </w:rPr>
              <w:t xml:space="preserve">Untrusted</w:t>
            </w:r>
          </w:p>
        </w:tc>
      </w:tr>
      <w:tr>
        <w:tc>
          <w:tcPr>
            <w:tcW w:type="dxa" w:w="3500"/>
            <w:shd w:fill="F7E4A3" w:val="clear"/>
            <w:tcMar>
              <w:top w:type="dxa" w:w="90"/>
              <w:left w:type="dxa" w:w="120"/>
              <w:bottom w:type="dxa" w:w="90"/>
              <w:right w:type="dxa" w:w="120"/>
            </w:tcMar>
            <w:vAlign w:val="center"/>
          </w:tcPr>
          <w:p>
            <w:pPr>
              <w:jc w:val="left"/>
            </w:pPr>
            <w:r>
              <w:rPr>
                <w:b w:val="false"/>
                <w:bCs w:val="false"/>
                <w:i w:val="false"/>
                <w:iCs w:val="false"/>
                <w:color w:val="1B1F23"/>
                <w:sz w:val="19"/>
                <w:szCs w:val="19"/>
              </w:rPr>
              <w:t xml:space="preserve">Presentation / Proxy Layer</w:t>
            </w:r>
          </w:p>
        </w:tc>
        <w:tc>
          <w:tcPr>
            <w:tcW w:type="dxa" w:w="2900"/>
            <w:shd w:fill="F7E4A3" w:val="clear"/>
            <w:tcMar>
              <w:top w:type="dxa" w:w="90"/>
              <w:left w:type="dxa" w:w="120"/>
              <w:bottom w:type="dxa" w:w="90"/>
              <w:right w:type="dxa" w:w="120"/>
            </w:tcMar>
            <w:vAlign w:val="center"/>
          </w:tcPr>
          <w:p>
            <w:pPr>
              <w:jc w:val="left"/>
            </w:pPr>
            <w:r>
              <w:rPr>
                <w:b w:val="false"/>
                <w:bCs w:val="false"/>
                <w:i w:val="false"/>
                <w:iCs w:val="false"/>
                <w:color w:val="1B1F23"/>
                <w:sz w:val="19"/>
                <w:szCs w:val="19"/>
              </w:rPr>
              <w:t xml:space="preserve">DMZ</w:t>
            </w:r>
          </w:p>
        </w:tc>
        <w:tc>
          <w:tcPr>
            <w:tcW w:type="dxa" w:w="2900"/>
            <w:shd w:fill="F7E4A3" w:val="clear"/>
            <w:tcMar>
              <w:top w:type="dxa" w:w="90"/>
              <w:left w:type="dxa" w:w="120"/>
              <w:bottom w:type="dxa" w:w="90"/>
              <w:right w:type="dxa" w:w="120"/>
            </w:tcMar>
            <w:vAlign w:val="center"/>
          </w:tcPr>
          <w:p>
            <w:pPr>
              <w:jc w:val="left"/>
            </w:pPr>
            <w:r>
              <w:rPr>
                <w:b/>
                <w:bCs/>
                <w:i w:val="false"/>
                <w:iCs w:val="false"/>
                <w:color w:val="8A6D1D"/>
                <w:sz w:val="19"/>
                <w:szCs w:val="19"/>
              </w:rPr>
              <w:t xml:space="preserve">Semi-Trusted (Ingress Control Point)</w:t>
            </w:r>
          </w:p>
        </w:tc>
      </w:tr>
      <w:tr>
        <w:tc>
          <w:tcPr>
            <w:tcW w:type="dxa" w:w="3500"/>
            <w:shd w:fill="E1F3EC" w:val="clear"/>
            <w:tcMar>
              <w:top w:type="dxa" w:w="90"/>
              <w:left w:type="dxa" w:w="120"/>
              <w:bottom w:type="dxa" w:w="90"/>
              <w:right w:type="dxa" w:w="120"/>
            </w:tcMar>
            <w:vAlign w:val="center"/>
          </w:tcPr>
          <w:p>
            <w:pPr>
              <w:jc w:val="left"/>
            </w:pPr>
            <w:r>
              <w:rPr>
                <w:b w:val="false"/>
                <w:bCs w:val="false"/>
                <w:i w:val="false"/>
                <w:iCs w:val="false"/>
                <w:color w:val="1B1F23"/>
                <w:sz w:val="19"/>
                <w:szCs w:val="19"/>
              </w:rPr>
              <w:t xml:space="preserve">Application &amp; Security Layer</w:t>
            </w:r>
          </w:p>
        </w:tc>
        <w:tc>
          <w:tcPr>
            <w:tcW w:type="dxa" w:w="2900"/>
            <w:shd w:fill="E1F3EC" w:val="clear"/>
            <w:tcMar>
              <w:top w:type="dxa" w:w="90"/>
              <w:left w:type="dxa" w:w="120"/>
              <w:bottom w:type="dxa" w:w="90"/>
              <w:right w:type="dxa" w:w="120"/>
            </w:tcMar>
            <w:vAlign w:val="center"/>
          </w:tcPr>
          <w:p>
            <w:pPr>
              <w:jc w:val="left"/>
            </w:pPr>
            <w:r>
              <w:rPr>
                <w:b w:val="false"/>
                <w:bCs w:val="false"/>
                <w:i w:val="false"/>
                <w:iCs w:val="false"/>
                <w:color w:val="1B1F23"/>
                <w:sz w:val="19"/>
                <w:szCs w:val="19"/>
              </w:rPr>
              <w:t xml:space="preserve">Private Subnet</w:t>
            </w:r>
          </w:p>
        </w:tc>
        <w:tc>
          <w:tcPr>
            <w:tcW w:type="dxa" w:w="2900"/>
            <w:shd w:fill="E1F3EC" w:val="clear"/>
            <w:tcMar>
              <w:top w:type="dxa" w:w="90"/>
              <w:left w:type="dxa" w:w="120"/>
              <w:bottom w:type="dxa" w:w="90"/>
              <w:right w:type="dxa" w:w="120"/>
            </w:tcMar>
            <w:vAlign w:val="center"/>
          </w:tcPr>
          <w:p>
            <w:pPr>
              <w:jc w:val="left"/>
            </w:pPr>
            <w:r>
              <w:rPr>
                <w:b/>
                <w:bCs/>
                <w:i w:val="false"/>
                <w:iCs w:val="false"/>
                <w:color w:val="1E6B4F"/>
                <w:sz w:val="19"/>
                <w:szCs w:val="19"/>
              </w:rPr>
              <w:t xml:space="preserve">Trusted (Business Logic)</w:t>
            </w:r>
          </w:p>
        </w:tc>
      </w:tr>
      <w:tr>
        <w:tc>
          <w:tcPr>
            <w:tcW w:type="dxa" w:w="3500"/>
            <w:shd w:fill="EDE4F7" w:val="clear"/>
            <w:tcMar>
              <w:top w:type="dxa" w:w="90"/>
              <w:left w:type="dxa" w:w="120"/>
              <w:bottom w:type="dxa" w:w="90"/>
              <w:right w:type="dxa" w:w="120"/>
            </w:tcMar>
            <w:vAlign w:val="center"/>
          </w:tcPr>
          <w:p>
            <w:pPr>
              <w:jc w:val="left"/>
            </w:pPr>
            <w:r>
              <w:rPr>
                <w:b w:val="false"/>
                <w:bCs w:val="false"/>
                <w:i w:val="false"/>
                <w:iCs w:val="false"/>
                <w:color w:val="1B1F23"/>
                <w:sz w:val="19"/>
                <w:szCs w:val="19"/>
              </w:rPr>
              <w:t xml:space="preserve">Data &amp; Secrets Layer</w:t>
            </w:r>
          </w:p>
        </w:tc>
        <w:tc>
          <w:tcPr>
            <w:tcW w:type="dxa" w:w="2900"/>
            <w:shd w:fill="EDE4F7" w:val="clear"/>
            <w:tcMar>
              <w:top w:type="dxa" w:w="90"/>
              <w:left w:type="dxa" w:w="120"/>
              <w:bottom w:type="dxa" w:w="90"/>
              <w:right w:type="dxa" w:w="120"/>
            </w:tcMar>
            <w:vAlign w:val="center"/>
          </w:tcPr>
          <w:p>
            <w:pPr>
              <w:jc w:val="left"/>
            </w:pPr>
            <w:r>
              <w:rPr>
                <w:b w:val="false"/>
                <w:bCs w:val="false"/>
                <w:i w:val="false"/>
                <w:iCs w:val="false"/>
                <w:color w:val="1B1F23"/>
                <w:sz w:val="19"/>
                <w:szCs w:val="19"/>
              </w:rPr>
              <w:t xml:space="preserve">Isolated Subnet</w:t>
            </w:r>
          </w:p>
        </w:tc>
        <w:tc>
          <w:tcPr>
            <w:tcW w:type="dxa" w:w="2900"/>
            <w:shd w:fill="EDE4F7" w:val="clear"/>
            <w:tcMar>
              <w:top w:type="dxa" w:w="90"/>
              <w:left w:type="dxa" w:w="120"/>
              <w:bottom w:type="dxa" w:w="90"/>
              <w:right w:type="dxa" w:w="120"/>
            </w:tcMar>
            <w:vAlign w:val="center"/>
          </w:tcPr>
          <w:p>
            <w:pPr>
              <w:jc w:val="left"/>
            </w:pPr>
            <w:r>
              <w:rPr>
                <w:b/>
                <w:bCs/>
                <w:i w:val="false"/>
                <w:iCs w:val="false"/>
                <w:color w:val="4B2E83"/>
                <w:sz w:val="19"/>
                <w:szCs w:val="19"/>
              </w:rPr>
              <w:t xml:space="preserve">Highly Trusted (No Direct Ingress)</w:t>
            </w:r>
          </w:p>
        </w:tc>
      </w:tr>
    </w:tbl>
    <w:p>
      <w:pPr>
        <w:pStyle w:val="Heading2"/>
        <w:spacing w:after="120" w:before="380"/>
      </w:pPr>
      <w:r>
        <w:rPr>
          <w:b/>
          <w:bCs/>
          <w:color w:val="3A4552"/>
          <w:sz w:val="24"/>
          <w:szCs w:val="24"/>
        </w:rPr>
        <w:t xml:space="preserve">2.2  Network Isolation &amp; Data-Flow Diagram</w:t>
      </w:r>
    </w:p>
    <w:p>
      <w:pPr>
        <w:spacing w:after="60" w:before="200"/>
        <w:jc w:val="center"/>
      </w:pPr>
      <w:r>
        <w:drawing>
          <wp:inline distT="0" distB="0" distL="0" distR="0">
            <wp:extent cx="4162425" cy="719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62425" cy="7191375"/>
                    </a:xfrm>
                    <a:prstGeom prst="rect">
                      <a:avLst/>
                    </a:prstGeom>
                  </pic:spPr>
                </pic:pic>
              </a:graphicData>
            </a:graphic>
          </wp:inline>
        </w:drawing>
      </w:r>
    </w:p>
    <w:p>
      <w:pPr>
        <w:spacing w:after="360" w:before="120"/>
        <w:jc w:val="center"/>
      </w:pPr>
      <w:r>
        <w:rPr>
          <w:b/>
          <w:bCs/>
          <w:color w:val="C9982F"/>
          <w:sz w:val="18"/>
          <w:szCs w:val="18"/>
        </w:rPr>
        <w:t xml:space="preserve">Figure 1.  </w:t>
      </w:r>
      <w:r>
        <w:rPr>
          <w:i/>
          <w:iCs/>
          <w:color w:val="3A4552"/>
          <w:sz w:val="18"/>
          <w:szCs w:val="18"/>
        </w:rPr>
        <w:t xml:space="preserve">Four-zone network topology — traffic may only descend one tier at a time; the Data &amp; Secrets subnet accepts no direct ingress from the DMZ or public internet.</w:t>
      </w:r>
    </w:p>
    <w:p>
      <w:pPr>
        <w:pStyle w:val="Heading2"/>
        <w:spacing w:after="120" w:before="200"/>
      </w:pPr>
      <w:r>
        <w:rPr>
          <w:b/>
          <w:bCs/>
          <w:color w:val="3A4552"/>
          <w:sz w:val="24"/>
          <w:szCs w:val="24"/>
        </w:rPr>
        <w:t xml:space="preserve">2.3  Tier Responsibilities</w:t>
      </w:r>
    </w:p>
    <w:p>
      <w:pPr>
        <w:pStyle w:val="ListParagraph"/>
        <w:numPr>
          <w:ilvl w:val="0"/>
          <w:numId w:val="2"/>
        </w:numPr>
        <w:spacing w:after="90"/>
      </w:pPr>
      <w:r>
        <w:rPr>
          <w:b/>
          <w:bCs/>
          <w:color w:val="B33A3A"/>
          <w:sz w:val="21"/>
          <w:szCs w:val="21"/>
        </w:rPr>
        <w:t xml:space="preserve">Client Layer.</w:t>
      </w:r>
      <w:r>
        <w:rPr>
          <w:color w:val="1B1F23"/>
          <w:sz w:val="21"/>
          <w:szCs w:val="21"/>
        </w:rPr>
        <w:t xml:space="preserve"> The user's browser retrieves the React.js SPA bundle and communicates exclusively over HTTPS/TLS 1.3, enforced via HSTS preload once issued by the proxy layer. No business logic or secrets are resident client-side beyond short-lived session tokens.</w:t>
      </w:r>
    </w:p>
    <w:p>
      <w:pPr>
        <w:pStyle w:val="ListParagraph"/>
        <w:numPr>
          <w:ilvl w:val="0"/>
          <w:numId w:val="2"/>
        </w:numPr>
        <w:spacing w:after="90"/>
      </w:pPr>
      <w:r>
        <w:rPr>
          <w:b/>
          <w:bCs/>
          <w:color w:val="8A6D1D"/>
          <w:sz w:val="21"/>
          <w:szCs w:val="21"/>
        </w:rPr>
        <w:t xml:space="preserve">Presentation / Proxy Layer (DMZ).</w:t>
      </w:r>
      <w:r>
        <w:rPr>
          <w:color w:val="1B1F23"/>
          <w:sz w:val="21"/>
          <w:szCs w:val="21"/>
        </w:rPr>
        <w:t xml:space="preserve"> Nginx acts as the sole internet-facing ingress point, terminating TLS 1.3, injecting security response headers (Strict-Transport-Security, Content-Security-Policy, X-Content-Type-Options, X-Frame-Options), and applying limit_req zones to throttle password-reset-initiation endpoints — the primary target for enumeration and credential-stuffing abuse. Nginx never holds application secrets or direct database connectivity.</w:t>
      </w:r>
    </w:p>
    <w:p>
      <w:pPr>
        <w:pStyle w:val="ListParagraph"/>
        <w:numPr>
          <w:ilvl w:val="0"/>
          <w:numId w:val="2"/>
        </w:numPr>
        <w:spacing w:after="90"/>
      </w:pPr>
      <w:r>
        <w:rPr>
          <w:b/>
          <w:bCs/>
          <w:color w:val="1E6B4F"/>
          <w:sz w:val="21"/>
          <w:szCs w:val="21"/>
        </w:rPr>
        <w:t xml:space="preserve">Application &amp; Security Layer (Private Subnet).</w:t>
      </w:r>
      <w:r>
        <w:rPr>
          <w:color w:val="1B1F23"/>
          <w:sz w:val="21"/>
          <w:szCs w:val="21"/>
        </w:rPr>
        <w:t xml:space="preserve"> The Spring Boot 3.x service is the sole authority for business logic, authentication decisioning, and cryptographic operations. It is unreachable from the public internet — only the DMZ proxy may route to it. This layer enforces NIST SP 800-63B rules and generates HMAC-SHA256–hashed, single-use, time-bound reset tokens.</w:t>
      </w:r>
    </w:p>
    <w:p>
      <w:pPr>
        <w:pStyle w:val="ListParagraph"/>
        <w:numPr>
          <w:ilvl w:val="0"/>
          <w:numId w:val="2"/>
        </w:numPr>
        <w:spacing w:after="90"/>
      </w:pPr>
      <w:r>
        <w:rPr>
          <w:b/>
          <w:bCs/>
          <w:color w:val="4B2E83"/>
          <w:sz w:val="21"/>
          <w:szCs w:val="21"/>
        </w:rPr>
        <w:t xml:space="preserve">Data &amp; Secrets Layer (Isolated Subnet).</w:t>
      </w:r>
      <w:r>
        <w:rPr>
          <w:color w:val="1B1F23"/>
          <w:sz w:val="21"/>
          <w:szCs w:val="21"/>
        </w:rPr>
        <w:t xml:space="preserve"> PostgreSQL and HashiCorp Vault sit in a subnet with no direct ingress from the DMZ or internet — only the Application Layer may initiate connections inbound. Vault issues dynamic, short-TTL PostgreSQL credentials to the API service at runtime, eliminating static connection-string passwords from configuration files, environment variables, or source control entirely.</w:t>
      </w:r>
    </w:p>
    <w:p>
      <w:pPr>
        <w:spacing w:before="200"/>
      </w:pPr>
      <w:r>
        <w:t xml:space="preserve"/>
      </w:r>
    </w:p>
    <w:p>
      <w:pPr>
        <w:pStyle w:val="Heading1"/>
        <w:pBdr>
          <w:left w:val="single" w:color="123C5E" w:sz="24" w:space="8"/>
        </w:pBdr>
        <w:spacing w:after="200" w:before="420"/>
        <w:ind w:left="0"/>
      </w:pPr>
      <w:r>
        <w:rPr>
          <w:b/>
          <w:bCs/>
          <w:color w:val="123C5E"/>
        </w:rPr>
        <w:t xml:space="preserve">  3.  Technology Stack Selection &amp; Security Rationale</w:t>
      </w:r>
    </w:p>
    <w:p>
      <w:pPr>
        <w:spacing w:after="160" w:line="288"/>
        <w:jc w:val="left"/>
      </w:pPr>
      <w:r>
        <w:rPr>
          <w:b w:val="false"/>
          <w:bCs w:val="false"/>
          <w:i w:val="false"/>
          <w:iCs w:val="false"/>
          <w:color w:val="1B1F23"/>
          <w:sz w:val="21"/>
          <w:szCs w:val="21"/>
        </w:rPr>
        <w:t xml:space="preserve">Every component in the stack was selected against an explicit security criterion, not solely for developer familiarity or ecosystem popularity. The table below documents the rationale that will be defended at architecture review.</w:t>
      </w:r>
    </w:p>
    <w:tbl>
      <w:tblPr>
        <w:tblW w:type="pct" w:w="100%"/>
        <w:tblBorders>
          <w:top w:val="single" w:color="C9CFD6" w:sz="4"/>
          <w:left w:val="single" w:color="C9CFD6" w:sz="4"/>
          <w:bottom w:val="single" w:color="C9CFD6" w:sz="4"/>
          <w:right w:val="single" w:color="C9CFD6" w:sz="4"/>
          <w:insideH w:val="single" w:color="C9CFD6" w:sz="4"/>
          <w:insideV w:val="single" w:color="C9CFD6" w:sz="4"/>
        </w:tblBorders>
      </w:tblPr>
      <w:tblGrid>
        <w:gridCol w:w="2000"/>
        <w:gridCol w:w="2400"/>
        <w:gridCol w:w="4700"/>
      </w:tblGrid>
      <w:tr>
        <w:trPr>
          <w:tblHeader/>
        </w:trPr>
        <w:tc>
          <w:tcPr>
            <w:tcW w:type="dxa" w:w="2000"/>
            <w:shd w:fill="123C5E" w:val="clear"/>
            <w:tcMar>
              <w:top w:type="dxa" w:w="100"/>
              <w:left w:type="dxa" w:w="120"/>
              <w:bottom w:type="dxa" w:w="100"/>
              <w:right w:type="dxa" w:w="120"/>
            </w:tcMar>
            <w:vAlign w:val="center"/>
          </w:tcPr>
          <w:p>
            <w:pPr>
              <w:jc w:val="left"/>
            </w:pPr>
            <w:r>
              <w:rPr>
                <w:b/>
                <w:bCs/>
                <w:i w:val="false"/>
                <w:iCs w:val="false"/>
                <w:color w:val="FFFFFF"/>
                <w:sz w:val="20"/>
                <w:szCs w:val="20"/>
              </w:rPr>
              <w:t xml:space="preserve">Layer</w:t>
            </w:r>
          </w:p>
        </w:tc>
        <w:tc>
          <w:tcPr>
            <w:tcW w:type="dxa" w:w="2400"/>
            <w:shd w:fill="123C5E" w:val="clear"/>
            <w:tcMar>
              <w:top w:type="dxa" w:w="100"/>
              <w:left w:type="dxa" w:w="120"/>
              <w:bottom w:type="dxa" w:w="100"/>
              <w:right w:type="dxa" w:w="120"/>
            </w:tcMar>
            <w:vAlign w:val="center"/>
          </w:tcPr>
          <w:p>
            <w:pPr>
              <w:jc w:val="left"/>
            </w:pPr>
            <w:r>
              <w:rPr>
                <w:b/>
                <w:bCs/>
                <w:i w:val="false"/>
                <w:iCs w:val="false"/>
                <w:color w:val="FFFFFF"/>
                <w:sz w:val="20"/>
                <w:szCs w:val="20"/>
              </w:rPr>
              <w:t xml:space="preserve">Technology</w:t>
            </w:r>
          </w:p>
        </w:tc>
        <w:tc>
          <w:tcPr>
            <w:tcW w:type="dxa" w:w="4700"/>
            <w:shd w:fill="123C5E" w:val="clear"/>
            <w:tcMar>
              <w:top w:type="dxa" w:w="100"/>
              <w:left w:type="dxa" w:w="120"/>
              <w:bottom w:type="dxa" w:w="100"/>
              <w:right w:type="dxa" w:w="120"/>
            </w:tcMar>
            <w:vAlign w:val="center"/>
          </w:tcPr>
          <w:p>
            <w:pPr>
              <w:jc w:val="left"/>
            </w:pPr>
            <w:r>
              <w:rPr>
                <w:b/>
                <w:bCs/>
                <w:i w:val="false"/>
                <w:iCs w:val="false"/>
                <w:color w:val="FFFFFF"/>
                <w:sz w:val="20"/>
                <w:szCs w:val="20"/>
              </w:rPr>
              <w:t xml:space="preserve">Security Rationale</w:t>
            </w:r>
          </w:p>
        </w:tc>
      </w:tr>
      <w:tr>
        <w:tc>
          <w:tcPr>
            <w:tcW w:type="dxa" w:w="2000"/>
            <w:shd w:fill="F7F9FA" w:val="clear"/>
            <w:tcMar>
              <w:top w:type="dxa" w:w="90"/>
              <w:left w:type="dxa" w:w="120"/>
              <w:bottom w:type="dxa" w:w="90"/>
              <w:right w:type="dxa" w:w="120"/>
            </w:tcMar>
            <w:vAlign w:val="center"/>
          </w:tcPr>
          <w:p>
            <w:pPr>
              <w:jc w:val="left"/>
            </w:pPr>
            <w:r>
              <w:rPr>
                <w:b/>
                <w:bCs/>
                <w:i w:val="false"/>
                <w:iCs w:val="false"/>
                <w:color w:val="123C5E"/>
                <w:sz w:val="19"/>
                <w:szCs w:val="19"/>
              </w:rPr>
              <w:t xml:space="preserve">Frontend</w:t>
            </w:r>
          </w:p>
        </w:tc>
        <w:tc>
          <w:tcPr>
            <w:tcW w:type="dxa" w:w="2400"/>
            <w:shd w:fill="F7F9FA" w:val="clear"/>
            <w:tcMar>
              <w:top w:type="dxa" w:w="90"/>
              <w:left w:type="dxa" w:w="120"/>
              <w:bottom w:type="dxa" w:w="90"/>
              <w:right w:type="dxa" w:w="120"/>
            </w:tcMar>
            <w:vAlign w:val="center"/>
          </w:tcPr>
          <w:p>
            <w:pPr>
              <w:jc w:val="left"/>
            </w:pPr>
            <w:r>
              <w:rPr>
                <w:b w:val="false"/>
                <w:bCs w:val="false"/>
                <w:i w:val="false"/>
                <w:iCs w:val="false"/>
                <w:color w:val="1B1F23"/>
                <w:sz w:val="19"/>
                <w:szCs w:val="19"/>
              </w:rPr>
              <w:t xml:space="preserve">React.js (SPA)</w:t>
            </w:r>
          </w:p>
        </w:tc>
        <w:tc>
          <w:tcPr>
            <w:tcW w:type="dxa" w:w="4700"/>
            <w:shd w:fill="F7F9FA"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Component-level output encoding mitigates reflected/stored XSS by default; strict separation of presentation from API trust boundary; CSP-compatible build output (no inline eval).</w:t>
            </w:r>
          </w:p>
        </w:tc>
      </w:tr>
      <w:tr>
        <w:tc>
          <w:tcPr>
            <w:tcW w:type="dxa" w:w="2000"/>
            <w:shd w:fill="FFFFFF" w:val="clear"/>
            <w:tcMar>
              <w:top w:type="dxa" w:w="90"/>
              <w:left w:type="dxa" w:w="120"/>
              <w:bottom w:type="dxa" w:w="90"/>
              <w:right w:type="dxa" w:w="120"/>
            </w:tcMar>
            <w:vAlign w:val="center"/>
          </w:tcPr>
          <w:p>
            <w:pPr>
              <w:jc w:val="left"/>
            </w:pPr>
            <w:r>
              <w:rPr>
                <w:b/>
                <w:bCs/>
                <w:i w:val="false"/>
                <w:iCs w:val="false"/>
                <w:color w:val="123C5E"/>
                <w:sz w:val="19"/>
                <w:szCs w:val="19"/>
              </w:rPr>
              <w:t xml:space="preserve">Backend Framework</w:t>
            </w:r>
          </w:p>
        </w:tc>
        <w:tc>
          <w:tcPr>
            <w:tcW w:type="dxa" w:w="2400"/>
            <w:shd w:fill="FFFFFF" w:val="clear"/>
            <w:tcMar>
              <w:top w:type="dxa" w:w="90"/>
              <w:left w:type="dxa" w:w="120"/>
              <w:bottom w:type="dxa" w:w="90"/>
              <w:right w:type="dxa" w:w="120"/>
            </w:tcMar>
            <w:vAlign w:val="center"/>
          </w:tcPr>
          <w:p>
            <w:pPr>
              <w:jc w:val="left"/>
            </w:pPr>
            <w:r>
              <w:rPr>
                <w:b w:val="false"/>
                <w:bCs w:val="false"/>
                <w:i w:val="false"/>
                <w:iCs w:val="false"/>
                <w:color w:val="1B1F23"/>
                <w:sz w:val="19"/>
                <w:szCs w:val="19"/>
              </w:rPr>
              <w:t xml:space="preserve">Java 17+ / Spring Boot 3.x</w:t>
            </w:r>
          </w:p>
        </w:tc>
        <w:tc>
          <w:tcPr>
            <w:tcW w:type="dxa" w:w="4700"/>
            <w:shd w:fill="FFFFFF"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LTS runtime with modern memory-safety and cryptographic library support (JCA/JCE); Spring Security provides battle-tested authN/authZ, CSRF, and session-fixation protections out of the box.</w:t>
            </w:r>
          </w:p>
        </w:tc>
      </w:tr>
      <w:tr>
        <w:tc>
          <w:tcPr>
            <w:tcW w:type="dxa" w:w="2000"/>
            <w:shd w:fill="F7F9FA" w:val="clear"/>
            <w:tcMar>
              <w:top w:type="dxa" w:w="90"/>
              <w:left w:type="dxa" w:w="120"/>
              <w:bottom w:type="dxa" w:w="90"/>
              <w:right w:type="dxa" w:w="120"/>
            </w:tcMar>
            <w:vAlign w:val="center"/>
          </w:tcPr>
          <w:p>
            <w:pPr>
              <w:jc w:val="left"/>
            </w:pPr>
            <w:r>
              <w:rPr>
                <w:b/>
                <w:bCs/>
                <w:i w:val="false"/>
                <w:iCs w:val="false"/>
                <w:color w:val="123C5E"/>
                <w:sz w:val="19"/>
                <w:szCs w:val="19"/>
              </w:rPr>
              <w:t xml:space="preserve">Build Tooling</w:t>
            </w:r>
          </w:p>
        </w:tc>
        <w:tc>
          <w:tcPr>
            <w:tcW w:type="dxa" w:w="2400"/>
            <w:shd w:fill="F7F9FA" w:val="clear"/>
            <w:tcMar>
              <w:top w:type="dxa" w:w="90"/>
              <w:left w:type="dxa" w:w="120"/>
              <w:bottom w:type="dxa" w:w="90"/>
              <w:right w:type="dxa" w:w="120"/>
            </w:tcMar>
            <w:vAlign w:val="center"/>
          </w:tcPr>
          <w:p>
            <w:pPr>
              <w:jc w:val="left"/>
            </w:pPr>
            <w:r>
              <w:rPr>
                <w:b w:val="false"/>
                <w:bCs w:val="false"/>
                <w:i w:val="false"/>
                <w:iCs w:val="false"/>
                <w:color w:val="1B1F23"/>
                <w:sz w:val="19"/>
                <w:szCs w:val="19"/>
              </w:rPr>
              <w:t xml:space="preserve">Apache Maven</w:t>
            </w:r>
          </w:p>
        </w:tc>
        <w:tc>
          <w:tcPr>
            <w:tcW w:type="dxa" w:w="4700"/>
            <w:shd w:fill="F7F9FA"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Deterministic, isolated dependency resolution; native plugin integration for SonarQube (SAST) and OWASP Dependency-Check (SCA) as build-gating phases.</w:t>
            </w:r>
          </w:p>
        </w:tc>
      </w:tr>
      <w:tr>
        <w:tc>
          <w:tcPr>
            <w:tcW w:type="dxa" w:w="2000"/>
            <w:shd w:fill="FFFFFF" w:val="clear"/>
            <w:tcMar>
              <w:top w:type="dxa" w:w="90"/>
              <w:left w:type="dxa" w:w="120"/>
              <w:bottom w:type="dxa" w:w="90"/>
              <w:right w:type="dxa" w:w="120"/>
            </w:tcMar>
            <w:vAlign w:val="center"/>
          </w:tcPr>
          <w:p>
            <w:pPr>
              <w:jc w:val="left"/>
            </w:pPr>
            <w:r>
              <w:rPr>
                <w:b/>
                <w:bCs/>
                <w:i w:val="false"/>
                <w:iCs w:val="false"/>
                <w:color w:val="123C5E"/>
                <w:sz w:val="19"/>
                <w:szCs w:val="19"/>
              </w:rPr>
              <w:t xml:space="preserve">Database</w:t>
            </w:r>
          </w:p>
        </w:tc>
        <w:tc>
          <w:tcPr>
            <w:tcW w:type="dxa" w:w="2400"/>
            <w:shd w:fill="FFFFFF" w:val="clear"/>
            <w:tcMar>
              <w:top w:type="dxa" w:w="90"/>
              <w:left w:type="dxa" w:w="120"/>
              <w:bottom w:type="dxa" w:w="90"/>
              <w:right w:type="dxa" w:w="120"/>
            </w:tcMar>
            <w:vAlign w:val="center"/>
          </w:tcPr>
          <w:p>
            <w:pPr>
              <w:jc w:val="left"/>
            </w:pPr>
            <w:r>
              <w:rPr>
                <w:b w:val="false"/>
                <w:bCs w:val="false"/>
                <w:i w:val="false"/>
                <w:iCs w:val="false"/>
                <w:color w:val="1B1F23"/>
                <w:sz w:val="19"/>
                <w:szCs w:val="19"/>
              </w:rPr>
              <w:t xml:space="preserve">PostgreSQL</w:t>
            </w:r>
          </w:p>
        </w:tc>
        <w:tc>
          <w:tcPr>
            <w:tcW w:type="dxa" w:w="4700"/>
            <w:shd w:fill="FFFFFF"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ACID-compliant relational engine required for consistent audit trails and workflow state transitions; native row-level security (RLS) and mature TLS / pg_hba.conf access controls.</w:t>
            </w:r>
          </w:p>
        </w:tc>
      </w:tr>
      <w:tr>
        <w:tc>
          <w:tcPr>
            <w:tcW w:type="dxa" w:w="2000"/>
            <w:shd w:fill="F7F9FA" w:val="clear"/>
            <w:tcMar>
              <w:top w:type="dxa" w:w="90"/>
              <w:left w:type="dxa" w:w="120"/>
              <w:bottom w:type="dxa" w:w="90"/>
              <w:right w:type="dxa" w:w="120"/>
            </w:tcMar>
            <w:vAlign w:val="center"/>
          </w:tcPr>
          <w:p>
            <w:pPr>
              <w:jc w:val="left"/>
            </w:pPr>
            <w:r>
              <w:rPr>
                <w:b/>
                <w:bCs/>
                <w:i w:val="false"/>
                <w:iCs w:val="false"/>
                <w:color w:val="123C5E"/>
                <w:sz w:val="19"/>
                <w:szCs w:val="19"/>
              </w:rPr>
              <w:t xml:space="preserve">Secrets Management</w:t>
            </w:r>
          </w:p>
        </w:tc>
        <w:tc>
          <w:tcPr>
            <w:tcW w:type="dxa" w:w="2400"/>
            <w:shd w:fill="F7F9FA" w:val="clear"/>
            <w:tcMar>
              <w:top w:type="dxa" w:w="90"/>
              <w:left w:type="dxa" w:w="120"/>
              <w:bottom w:type="dxa" w:w="90"/>
              <w:right w:type="dxa" w:w="120"/>
            </w:tcMar>
            <w:vAlign w:val="center"/>
          </w:tcPr>
          <w:p>
            <w:pPr>
              <w:jc w:val="left"/>
            </w:pPr>
            <w:r>
              <w:rPr>
                <w:b w:val="false"/>
                <w:bCs w:val="false"/>
                <w:i w:val="false"/>
                <w:iCs w:val="false"/>
                <w:color w:val="1B1F23"/>
                <w:sz w:val="19"/>
                <w:szCs w:val="19"/>
              </w:rPr>
              <w:t xml:space="preserve">HashiCorp Vault</w:t>
            </w:r>
          </w:p>
        </w:tc>
        <w:tc>
          <w:tcPr>
            <w:tcW w:type="dxa" w:w="4700"/>
            <w:shd w:fill="F7F9FA"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Eliminates static, long-lived credentials (“zero standing secrets”); dynamic DB credential leasing with automatic revocation; Transit engine encrypts tokens without exposing raw key material.</w:t>
            </w:r>
          </w:p>
        </w:tc>
      </w:tr>
      <w:tr>
        <w:tc>
          <w:tcPr>
            <w:tcW w:type="dxa" w:w="2000"/>
            <w:shd w:fill="FFFFFF" w:val="clear"/>
            <w:tcMar>
              <w:top w:type="dxa" w:w="90"/>
              <w:left w:type="dxa" w:w="120"/>
              <w:bottom w:type="dxa" w:w="90"/>
              <w:right w:type="dxa" w:w="120"/>
            </w:tcMar>
            <w:vAlign w:val="center"/>
          </w:tcPr>
          <w:p>
            <w:pPr>
              <w:jc w:val="left"/>
            </w:pPr>
            <w:r>
              <w:rPr>
                <w:b/>
                <w:bCs/>
                <w:i w:val="false"/>
                <w:iCs w:val="false"/>
                <w:color w:val="123C5E"/>
                <w:sz w:val="19"/>
                <w:szCs w:val="19"/>
              </w:rPr>
              <w:t xml:space="preserve">Reverse Proxy</w:t>
            </w:r>
          </w:p>
        </w:tc>
        <w:tc>
          <w:tcPr>
            <w:tcW w:type="dxa" w:w="2400"/>
            <w:shd w:fill="FFFFFF" w:val="clear"/>
            <w:tcMar>
              <w:top w:type="dxa" w:w="90"/>
              <w:left w:type="dxa" w:w="120"/>
              <w:bottom w:type="dxa" w:w="90"/>
              <w:right w:type="dxa" w:w="120"/>
            </w:tcMar>
            <w:vAlign w:val="center"/>
          </w:tcPr>
          <w:p>
            <w:pPr>
              <w:jc w:val="left"/>
            </w:pPr>
            <w:r>
              <w:rPr>
                <w:b w:val="false"/>
                <w:bCs w:val="false"/>
                <w:i w:val="false"/>
                <w:iCs w:val="false"/>
                <w:color w:val="1B1F23"/>
                <w:sz w:val="19"/>
                <w:szCs w:val="19"/>
              </w:rPr>
              <w:t xml:space="preserve">Nginx</w:t>
            </w:r>
          </w:p>
        </w:tc>
        <w:tc>
          <w:tcPr>
            <w:tcW w:type="dxa" w:w="4700"/>
            <w:shd w:fill="FFFFFF"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High-performance TLS termination and centralized enforcement point for security headers and rate-limiting, keeping these controls out of (and independent from) application code.</w:t>
            </w:r>
          </w:p>
        </w:tc>
      </w:tr>
      <w:tr>
        <w:tc>
          <w:tcPr>
            <w:tcW w:type="dxa" w:w="2000"/>
            <w:shd w:fill="F7F9FA" w:val="clear"/>
            <w:tcMar>
              <w:top w:type="dxa" w:w="90"/>
              <w:left w:type="dxa" w:w="120"/>
              <w:bottom w:type="dxa" w:w="90"/>
              <w:right w:type="dxa" w:w="120"/>
            </w:tcMar>
            <w:vAlign w:val="center"/>
          </w:tcPr>
          <w:p>
            <w:pPr>
              <w:jc w:val="left"/>
            </w:pPr>
            <w:r>
              <w:rPr>
                <w:b/>
                <w:bCs/>
                <w:i w:val="false"/>
                <w:iCs w:val="false"/>
                <w:color w:val="123C5E"/>
                <w:sz w:val="19"/>
                <w:szCs w:val="19"/>
              </w:rPr>
              <w:t xml:space="preserve">Containerization</w:t>
            </w:r>
          </w:p>
        </w:tc>
        <w:tc>
          <w:tcPr>
            <w:tcW w:type="dxa" w:w="2400"/>
            <w:shd w:fill="F7F9FA" w:val="clear"/>
            <w:tcMar>
              <w:top w:type="dxa" w:w="90"/>
              <w:left w:type="dxa" w:w="120"/>
              <w:bottom w:type="dxa" w:w="90"/>
              <w:right w:type="dxa" w:w="120"/>
            </w:tcMar>
            <w:vAlign w:val="center"/>
          </w:tcPr>
          <w:p>
            <w:pPr>
              <w:jc w:val="left"/>
            </w:pPr>
            <w:r>
              <w:rPr>
                <w:b w:val="false"/>
                <w:bCs w:val="false"/>
                <w:i w:val="false"/>
                <w:iCs w:val="false"/>
                <w:color w:val="1B1F23"/>
                <w:sz w:val="19"/>
                <w:szCs w:val="19"/>
              </w:rPr>
              <w:t xml:space="preserve">Docker (Multi-Stage Builds)</w:t>
            </w:r>
          </w:p>
        </w:tc>
        <w:tc>
          <w:tcPr>
            <w:tcW w:type="dxa" w:w="4700"/>
            <w:shd w:fill="F7F9FA"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Multi-stage builds discard build-time toolchains from the final image; Distroless/Alpine base images minimize attack surface (no shell, no package manager) and reduce CVE exposure footprint.</w:t>
            </w:r>
          </w:p>
        </w:tc>
      </w:tr>
    </w:tbl>
    <w:p>
      <w:pPr>
        <w:spacing w:before="260"/>
      </w:pPr>
      <w:r>
        <w:t xml:space="preserve"/>
      </w:r>
    </w:p>
    <w:p>
      <w:pPr>
        <w:pStyle w:val="Heading1"/>
        <w:pBdr>
          <w:left w:val="single" w:color="123C5E" w:sz="24" w:space="8"/>
        </w:pBdr>
        <w:spacing w:after="200" w:before="420"/>
        <w:ind w:left="0"/>
      </w:pPr>
      <w:r>
        <w:rPr>
          <w:b/>
          <w:bCs/>
          <w:color w:val="123C5E"/>
        </w:rPr>
        <w:t xml:space="preserve">  4.  Core MVP Functional Requirements — Implementation Strategy</w:t>
      </w:r>
    </w:p>
    <w:tbl>
      <w:tblPr>
        <w:tblW w:type="pct" w:w="100%"/>
        <w:tblBorders>
          <w:top w:val="single" w:color="C9CFD6" w:sz="4"/>
          <w:left w:val="single" w:color="C9CFD6" w:sz="4"/>
          <w:bottom w:val="single" w:color="C9CFD6" w:sz="4"/>
          <w:right w:val="single" w:color="C9CFD6" w:sz="4"/>
          <w:insideH w:val="single" w:color="C9CFD6" w:sz="4"/>
          <w:insideV w:val="single" w:color="C9CFD6" w:sz="4"/>
        </w:tblBorders>
      </w:tblPr>
      <w:tblGrid>
        <w:gridCol w:w="2300"/>
        <w:gridCol w:w="3600"/>
        <w:gridCol w:w="3200"/>
      </w:tblGrid>
      <w:tr>
        <w:trPr>
          <w:tblHeader/>
        </w:trPr>
        <w:tc>
          <w:tcPr>
            <w:tcW w:type="dxa" w:w="2300"/>
            <w:shd w:fill="123C5E" w:val="clear"/>
            <w:tcMar>
              <w:top w:type="dxa" w:w="100"/>
              <w:left w:type="dxa" w:w="120"/>
              <w:bottom w:type="dxa" w:w="100"/>
              <w:right w:type="dxa" w:w="120"/>
            </w:tcMar>
            <w:vAlign w:val="center"/>
          </w:tcPr>
          <w:p>
            <w:pPr>
              <w:jc w:val="left"/>
            </w:pPr>
            <w:r>
              <w:rPr>
                <w:b/>
                <w:bCs/>
                <w:i w:val="false"/>
                <w:iCs w:val="false"/>
                <w:color w:val="FFFFFF"/>
                <w:sz w:val="20"/>
                <w:szCs w:val="20"/>
              </w:rPr>
              <w:t xml:space="preserve">Requirement</w:t>
            </w:r>
          </w:p>
        </w:tc>
        <w:tc>
          <w:tcPr>
            <w:tcW w:type="dxa" w:w="3600"/>
            <w:shd w:fill="123C5E" w:val="clear"/>
            <w:tcMar>
              <w:top w:type="dxa" w:w="100"/>
              <w:left w:type="dxa" w:w="120"/>
              <w:bottom w:type="dxa" w:w="100"/>
              <w:right w:type="dxa" w:w="120"/>
            </w:tcMar>
            <w:vAlign w:val="center"/>
          </w:tcPr>
          <w:p>
            <w:pPr>
              <w:jc w:val="left"/>
            </w:pPr>
            <w:r>
              <w:rPr>
                <w:b/>
                <w:bCs/>
                <w:i w:val="false"/>
                <w:iCs w:val="false"/>
                <w:color w:val="FFFFFF"/>
                <w:sz w:val="20"/>
                <w:szCs w:val="20"/>
              </w:rPr>
              <w:t xml:space="preserve">Implementation Approach</w:t>
            </w:r>
          </w:p>
        </w:tc>
        <w:tc>
          <w:tcPr>
            <w:tcW w:type="dxa" w:w="3200"/>
            <w:shd w:fill="123C5E" w:val="clear"/>
            <w:tcMar>
              <w:top w:type="dxa" w:w="100"/>
              <w:left w:type="dxa" w:w="120"/>
              <w:bottom w:type="dxa" w:w="100"/>
              <w:right w:type="dxa" w:w="120"/>
            </w:tcMar>
            <w:vAlign w:val="center"/>
          </w:tcPr>
          <w:p>
            <w:pPr>
              <w:jc w:val="left"/>
            </w:pPr>
            <w:r>
              <w:rPr>
                <w:b/>
                <w:bCs/>
                <w:i w:val="false"/>
                <w:iCs w:val="false"/>
                <w:color w:val="FFFFFF"/>
                <w:sz w:val="20"/>
                <w:szCs w:val="20"/>
              </w:rPr>
              <w:t xml:space="preserve">Security Control</w:t>
            </w:r>
          </w:p>
        </w:tc>
      </w:tr>
      <w:tr>
        <w:tc>
          <w:tcPr>
            <w:tcW w:type="dxa" w:w="2300"/>
            <w:shd w:fill="F7F9FA" w:val="clear"/>
            <w:tcMar>
              <w:top w:type="dxa" w:w="90"/>
              <w:left w:type="dxa" w:w="120"/>
              <w:bottom w:type="dxa" w:w="90"/>
              <w:right w:type="dxa" w:w="120"/>
            </w:tcMar>
            <w:vAlign w:val="center"/>
          </w:tcPr>
          <w:p>
            <w:pPr>
              <w:jc w:val="left"/>
            </w:pPr>
            <w:r>
              <w:rPr>
                <w:b/>
                <w:bCs/>
                <w:i w:val="false"/>
                <w:iCs w:val="false"/>
                <w:color w:val="123C5E"/>
                <w:sz w:val="18"/>
                <w:szCs w:val="18"/>
              </w:rPr>
              <w:t xml:space="preserve">Create / View / Update / Search Records</w:t>
            </w:r>
          </w:p>
        </w:tc>
        <w:tc>
          <w:tcPr>
            <w:tcW w:type="dxa" w:w="3600"/>
            <w:shd w:fill="F7F9FA"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REST endpoints backed by Spring Data JPA repositories; server-side pagination (Pageable) and parameterized queries only.</w:t>
            </w:r>
          </w:p>
        </w:tc>
        <w:tc>
          <w:tcPr>
            <w:tcW w:type="dxa" w:w="3200"/>
            <w:shd w:fill="F7F9FA"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Strict input validation (Bean Validation @Valid), output encoding, and query parameterization to prevent SQLi/IDOR; field-level allow-listing on update DTOs.</w:t>
            </w:r>
          </w:p>
        </w:tc>
      </w:tr>
      <w:tr>
        <w:tc>
          <w:tcPr>
            <w:tcW w:type="dxa" w:w="2300"/>
            <w:shd w:fill="FFFFFF" w:val="clear"/>
            <w:tcMar>
              <w:top w:type="dxa" w:w="90"/>
              <w:left w:type="dxa" w:w="120"/>
              <w:bottom w:type="dxa" w:w="90"/>
              <w:right w:type="dxa" w:w="120"/>
            </w:tcMar>
            <w:vAlign w:val="center"/>
          </w:tcPr>
          <w:p>
            <w:pPr>
              <w:jc w:val="left"/>
            </w:pPr>
            <w:r>
              <w:rPr>
                <w:b/>
                <w:bCs/>
                <w:i w:val="false"/>
                <w:iCs w:val="false"/>
                <w:color w:val="123C5E"/>
                <w:sz w:val="18"/>
                <w:szCs w:val="18"/>
              </w:rPr>
              <w:t xml:space="preserve">Role-Based Status Workflow</w:t>
            </w:r>
          </w:p>
        </w:tc>
        <w:tc>
          <w:tcPr>
            <w:tcW w:type="dxa" w:w="3600"/>
            <w:shd w:fill="FFFFFF"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Explicit finite-state machine: REQUESTED → VERIFIED → RESET_PENDING → COMPLETED / EXPIRED, enforced via Spring Security @PreAuthorize on each transition endpoint.</w:t>
            </w:r>
          </w:p>
        </w:tc>
        <w:tc>
          <w:tcPr>
            <w:tcW w:type="dxa" w:w="3200"/>
            <w:shd w:fill="FFFFFF"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RBAC prevents unauthorized state jumps; every transition is written to the immutable audit log.</w:t>
            </w:r>
          </w:p>
        </w:tc>
      </w:tr>
      <w:tr>
        <w:tc>
          <w:tcPr>
            <w:tcW w:type="dxa" w:w="2300"/>
            <w:shd w:fill="F7F9FA" w:val="clear"/>
            <w:tcMar>
              <w:top w:type="dxa" w:w="90"/>
              <w:left w:type="dxa" w:w="120"/>
              <w:bottom w:type="dxa" w:w="90"/>
              <w:right w:type="dxa" w:w="120"/>
            </w:tcMar>
            <w:vAlign w:val="center"/>
          </w:tcPr>
          <w:p>
            <w:pPr>
              <w:jc w:val="left"/>
            </w:pPr>
            <w:r>
              <w:rPr>
                <w:b/>
                <w:bCs/>
                <w:i w:val="false"/>
                <w:iCs w:val="false"/>
                <w:color w:val="123C5E"/>
                <w:sz w:val="18"/>
                <w:szCs w:val="18"/>
              </w:rPr>
              <w:t xml:space="preserve">Summary Dashboard</w:t>
            </w:r>
          </w:p>
        </w:tc>
        <w:tc>
          <w:tcPr>
            <w:tcW w:type="dxa" w:w="3600"/>
            <w:shd w:fill="F7F9FA"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Aggregation endpoints (GROUP BY / projection queries) surfacing total resets, ticket-deflection rate, active token count, and failed/suspicious attempt counters.</w:t>
            </w:r>
          </w:p>
        </w:tc>
        <w:tc>
          <w:tcPr>
            <w:tcW w:type="dxa" w:w="3200"/>
            <w:shd w:fill="F7F9FA"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RBAC-gated to admin/analyst roles only; aggregate-only responses (no raw PII rows) limit sensitive-data exposure.</w:t>
            </w:r>
          </w:p>
        </w:tc>
      </w:tr>
      <w:tr>
        <w:tc>
          <w:tcPr>
            <w:tcW w:type="dxa" w:w="2300"/>
            <w:shd w:fill="FFFFFF" w:val="clear"/>
            <w:tcMar>
              <w:top w:type="dxa" w:w="90"/>
              <w:left w:type="dxa" w:w="120"/>
              <w:bottom w:type="dxa" w:w="90"/>
              <w:right w:type="dxa" w:w="120"/>
            </w:tcMar>
            <w:vAlign w:val="center"/>
          </w:tcPr>
          <w:p>
            <w:pPr>
              <w:jc w:val="left"/>
            </w:pPr>
            <w:r>
              <w:rPr>
                <w:b/>
                <w:bCs/>
                <w:i w:val="false"/>
                <w:iCs w:val="false"/>
                <w:color w:val="123C5E"/>
                <w:sz w:val="18"/>
                <w:szCs w:val="18"/>
              </w:rPr>
              <w:t xml:space="preserve">Rate-Limiting &amp; Anti-Brute-Force</w:t>
            </w:r>
          </w:p>
        </w:tc>
        <w:tc>
          <w:tcPr>
            <w:tcW w:type="dxa" w:w="3600"/>
            <w:shd w:fill="FFFFFF"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Dual-layer enforcement: Nginx limit_req zone at the edge + Spring Boot Bucket4j token-bucket filter in-app, capping reset requests to 3 per 5 minutes per IP/user identity.</w:t>
            </w:r>
          </w:p>
        </w:tc>
        <w:tc>
          <w:tcPr>
            <w:tcW w:type="dxa" w:w="3200"/>
            <w:shd w:fill="FFFFFF"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Defense-in-depth against enumeration and brute-force; edge layer absorbs volumetric abuse before it reaches application compute.</w:t>
            </w:r>
          </w:p>
        </w:tc>
      </w:tr>
    </w:tbl>
    <w:p>
      <w:pPr>
        <w:pStyle w:val="Heading2"/>
        <w:spacing w:after="120" w:before="380"/>
      </w:pPr>
      <w:r>
        <w:rPr>
          <w:b/>
          <w:bCs/>
          <w:color w:val="3A4552"/>
          <w:sz w:val="24"/>
          <w:szCs w:val="24"/>
        </w:rPr>
        <w:t xml:space="preserve">4.1  Reset-Request State Workflow</w:t>
      </w:r>
    </w:p>
    <w:p>
      <w:pPr>
        <w:spacing w:after="60" w:before="200"/>
        <w:jc w:val="center"/>
      </w:pPr>
      <w:r>
        <w:drawing>
          <wp:inline distT="0" distB="0" distL="0" distR="0">
            <wp:extent cx="5553075"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53075" cy="1095375"/>
                    </a:xfrm>
                    <a:prstGeom prst="rect">
                      <a:avLst/>
                    </a:prstGeom>
                  </pic:spPr>
                </pic:pic>
              </a:graphicData>
            </a:graphic>
          </wp:inline>
        </w:drawing>
      </w:r>
    </w:p>
    <w:p>
      <w:pPr>
        <w:spacing w:after="360" w:before="120"/>
        <w:jc w:val="center"/>
      </w:pPr>
      <w:r>
        <w:rPr>
          <w:b/>
          <w:bCs/>
          <w:color w:val="C9982F"/>
          <w:sz w:val="18"/>
          <w:szCs w:val="18"/>
        </w:rPr>
        <w:t xml:space="preserve">Figure 2.  </w:t>
      </w:r>
      <w:r>
        <w:rPr>
          <w:i/>
          <w:iCs/>
          <w:color w:val="3A4552"/>
          <w:sz w:val="18"/>
          <w:szCs w:val="18"/>
        </w:rPr>
        <w:t xml:space="preserve">Finite-state machine governing every password-reset request, enforced end-to-end via Spring Security @PreAuthorize.</w:t>
      </w:r>
    </w:p>
    <w:p>
      <w:pPr>
        <w:spacing w:before="200"/>
      </w:pPr>
      <w:r>
        <w:t xml:space="preserve"/>
      </w:r>
    </w:p>
    <w:p>
      <w:pPr>
        <w:pStyle w:val="Heading1"/>
        <w:pBdr>
          <w:left w:val="single" w:color="123C5E" w:sz="24" w:space="8"/>
        </w:pBdr>
        <w:spacing w:after="200" w:before="420"/>
        <w:ind w:left="0"/>
      </w:pPr>
      <w:r>
        <w:rPr>
          <w:b/>
          <w:bCs/>
          <w:color w:val="123C5E"/>
        </w:rPr>
        <w:t xml:space="preserve">  5.  Continuous Security Integration Matrix</w:t>
      </w:r>
    </w:p>
    <w:p>
      <w:pPr>
        <w:spacing w:after="160" w:line="288"/>
        <w:jc w:val="left"/>
      </w:pPr>
      <w:r>
        <w:rPr>
          <w:b w:val="false"/>
          <w:bCs w:val="false"/>
          <w:i w:val="false"/>
          <w:iCs w:val="false"/>
          <w:color w:val="1B1F23"/>
          <w:sz w:val="21"/>
          <w:szCs w:val="21"/>
        </w:rPr>
        <w:t xml:space="preserve">The pipeline treats every artifact class — source code, dependencies, container images, and configuration/secrets — as an independently scanned control point, with build-breaking gates rather than advisory-only reporting.</w:t>
      </w:r>
    </w:p>
    <w:tbl>
      <w:tblPr>
        <w:tblW w:type="pct" w:w="100%"/>
        <w:tblBorders>
          <w:top w:val="single" w:color="C9CFD6" w:sz="4"/>
          <w:left w:val="single" w:color="C9CFD6" w:sz="4"/>
          <w:bottom w:val="single" w:color="C9CFD6" w:sz="4"/>
          <w:right w:val="single" w:color="C9CFD6" w:sz="4"/>
          <w:insideH w:val="single" w:color="C9CFD6" w:sz="4"/>
          <w:insideV w:val="single" w:color="C9CFD6" w:sz="4"/>
        </w:tblBorders>
      </w:tblPr>
      <w:tblGrid>
        <w:gridCol w:w="2000"/>
        <w:gridCol w:w="2900"/>
        <w:gridCol w:w="2100"/>
        <w:gridCol w:w="2100"/>
      </w:tblGrid>
      <w:tr>
        <w:trPr>
          <w:tblHeader/>
        </w:trPr>
        <w:tc>
          <w:tcPr>
            <w:tcW w:type="dxa" w:w="2000"/>
            <w:shd w:fill="123C5E" w:val="clear"/>
            <w:tcMar>
              <w:top w:type="dxa" w:w="100"/>
              <w:left w:type="dxa" w:w="120"/>
              <w:bottom w:type="dxa" w:w="100"/>
              <w:right w:type="dxa" w:w="120"/>
            </w:tcMar>
            <w:vAlign w:val="center"/>
          </w:tcPr>
          <w:p>
            <w:pPr>
              <w:jc w:val="left"/>
            </w:pPr>
            <w:r>
              <w:rPr>
                <w:b/>
                <w:bCs/>
                <w:i w:val="false"/>
                <w:iCs w:val="false"/>
                <w:color w:val="FFFFFF"/>
                <w:sz w:val="20"/>
                <w:szCs w:val="20"/>
              </w:rPr>
              <w:t xml:space="preserve">Stack Layer</w:t>
            </w:r>
          </w:p>
        </w:tc>
        <w:tc>
          <w:tcPr>
            <w:tcW w:type="dxa" w:w="2900"/>
            <w:shd w:fill="123C5E" w:val="clear"/>
            <w:tcMar>
              <w:top w:type="dxa" w:w="100"/>
              <w:left w:type="dxa" w:w="120"/>
              <w:bottom w:type="dxa" w:w="100"/>
              <w:right w:type="dxa" w:w="120"/>
            </w:tcMar>
            <w:vAlign w:val="center"/>
          </w:tcPr>
          <w:p>
            <w:pPr>
              <w:jc w:val="left"/>
            </w:pPr>
            <w:r>
              <w:rPr>
                <w:b/>
                <w:bCs/>
                <w:i w:val="false"/>
                <w:iCs w:val="false"/>
                <w:color w:val="FFFFFF"/>
                <w:sz w:val="20"/>
                <w:szCs w:val="20"/>
              </w:rPr>
              <w:t xml:space="preserve">Threat Focus</w:t>
            </w:r>
          </w:p>
        </w:tc>
        <w:tc>
          <w:tcPr>
            <w:tcW w:type="dxa" w:w="2100"/>
            <w:shd w:fill="123C5E" w:val="clear"/>
            <w:tcMar>
              <w:top w:type="dxa" w:w="100"/>
              <w:left w:type="dxa" w:w="120"/>
              <w:bottom w:type="dxa" w:w="100"/>
              <w:right w:type="dxa" w:w="120"/>
            </w:tcMar>
            <w:vAlign w:val="center"/>
          </w:tcPr>
          <w:p>
            <w:pPr>
              <w:jc w:val="left"/>
            </w:pPr>
            <w:r>
              <w:rPr>
                <w:b/>
                <w:bCs/>
                <w:i w:val="false"/>
                <w:iCs w:val="false"/>
                <w:color w:val="FFFFFF"/>
                <w:sz w:val="20"/>
                <w:szCs w:val="20"/>
              </w:rPr>
              <w:t xml:space="preserve">Tooling</w:t>
            </w:r>
          </w:p>
        </w:tc>
        <w:tc>
          <w:tcPr>
            <w:tcW w:type="dxa" w:w="2100"/>
            <w:shd w:fill="123C5E" w:val="clear"/>
            <w:tcMar>
              <w:top w:type="dxa" w:w="100"/>
              <w:left w:type="dxa" w:w="120"/>
              <w:bottom w:type="dxa" w:w="100"/>
              <w:right w:type="dxa" w:w="120"/>
            </w:tcMar>
            <w:vAlign w:val="center"/>
          </w:tcPr>
          <w:p>
            <w:pPr>
              <w:jc w:val="left"/>
            </w:pPr>
            <w:r>
              <w:rPr>
                <w:b/>
                <w:bCs/>
                <w:i w:val="false"/>
                <w:iCs w:val="false"/>
                <w:color w:val="FFFFFF"/>
                <w:sz w:val="20"/>
                <w:szCs w:val="20"/>
              </w:rPr>
              <w:t xml:space="preserve">Gate Condition</w:t>
            </w:r>
          </w:p>
        </w:tc>
      </w:tr>
      <w:tr>
        <w:tc>
          <w:tcPr>
            <w:tcW w:type="dxa" w:w="2000"/>
            <w:shd w:fill="F7F9FA" w:val="clear"/>
            <w:tcMar>
              <w:top w:type="dxa" w:w="90"/>
              <w:left w:type="dxa" w:w="120"/>
              <w:bottom w:type="dxa" w:w="90"/>
              <w:right w:type="dxa" w:w="120"/>
            </w:tcMar>
            <w:vAlign w:val="center"/>
          </w:tcPr>
          <w:p>
            <w:pPr>
              <w:jc w:val="left"/>
            </w:pPr>
            <w:r>
              <w:rPr>
                <w:b/>
                <w:bCs/>
                <w:i w:val="false"/>
                <w:iCs w:val="false"/>
                <w:color w:val="123C5E"/>
                <w:sz w:val="18"/>
                <w:szCs w:val="18"/>
              </w:rPr>
              <w:t xml:space="preserve">Java Application Code</w:t>
            </w:r>
          </w:p>
        </w:tc>
        <w:tc>
          <w:tcPr>
            <w:tcW w:type="dxa" w:w="2900"/>
            <w:shd w:fill="F7F9FA"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Injection flaws, cryptographic misuse, OWASP API Top 10 (BOLA, broken authN, excessive data exposure)</w:t>
            </w:r>
          </w:p>
        </w:tc>
        <w:tc>
          <w:tcPr>
            <w:tcW w:type="dxa" w:w="2100"/>
            <w:shd w:fill="F7F9FA" w:val="clear"/>
            <w:tcMar>
              <w:top w:type="dxa" w:w="90"/>
              <w:left w:type="dxa" w:w="120"/>
              <w:bottom w:type="dxa" w:w="90"/>
              <w:right w:type="dxa" w:w="120"/>
            </w:tcMar>
            <w:vAlign w:val="center"/>
          </w:tcPr>
          <w:p>
            <w:pPr>
              <w:jc w:val="left"/>
            </w:pPr>
            <w:r>
              <w:rPr>
                <w:b/>
                <w:bCs/>
                <w:i w:val="false"/>
                <w:iCs w:val="false"/>
                <w:color w:val="1B1F23"/>
                <w:sz w:val="18"/>
                <w:szCs w:val="18"/>
              </w:rPr>
              <w:t xml:space="preserve">SonarQube / Semgrep (SAST)</w:t>
            </w:r>
          </w:p>
        </w:tc>
        <w:tc>
          <w:tcPr>
            <w:tcW w:type="dxa" w:w="2100"/>
            <w:shd w:fill="F7F9FA"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Build fails on Critical/High findings or new security hotspots.</w:t>
            </w:r>
          </w:p>
        </w:tc>
      </w:tr>
      <w:tr>
        <w:tc>
          <w:tcPr>
            <w:tcW w:type="dxa" w:w="2000"/>
            <w:shd w:fill="FFFFFF" w:val="clear"/>
            <w:tcMar>
              <w:top w:type="dxa" w:w="90"/>
              <w:left w:type="dxa" w:w="120"/>
              <w:bottom w:type="dxa" w:w="90"/>
              <w:right w:type="dxa" w:w="120"/>
            </w:tcMar>
            <w:vAlign w:val="center"/>
          </w:tcPr>
          <w:p>
            <w:pPr>
              <w:jc w:val="left"/>
            </w:pPr>
            <w:r>
              <w:rPr>
                <w:b/>
                <w:bCs/>
                <w:i w:val="false"/>
                <w:iCs w:val="false"/>
                <w:color w:val="123C5E"/>
                <w:sz w:val="18"/>
                <w:szCs w:val="18"/>
              </w:rPr>
              <w:t xml:space="preserve">Maven Dependencies</w:t>
            </w:r>
          </w:p>
        </w:tc>
        <w:tc>
          <w:tcPr>
            <w:tcW w:type="dxa" w:w="2900"/>
            <w:shd w:fill="FFFFFF"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Known-vulnerable transitive/direct libraries</w:t>
            </w:r>
          </w:p>
        </w:tc>
        <w:tc>
          <w:tcPr>
            <w:tcW w:type="dxa" w:w="2100"/>
            <w:shd w:fill="FFFFFF" w:val="clear"/>
            <w:tcMar>
              <w:top w:type="dxa" w:w="90"/>
              <w:left w:type="dxa" w:w="120"/>
              <w:bottom w:type="dxa" w:w="90"/>
              <w:right w:type="dxa" w:w="120"/>
            </w:tcMar>
            <w:vAlign w:val="center"/>
          </w:tcPr>
          <w:p>
            <w:pPr>
              <w:jc w:val="left"/>
            </w:pPr>
            <w:r>
              <w:rPr>
                <w:b/>
                <w:bCs/>
                <w:i w:val="false"/>
                <w:iCs w:val="false"/>
                <w:color w:val="1B1F23"/>
                <w:sz w:val="18"/>
                <w:szCs w:val="18"/>
              </w:rPr>
              <w:t xml:space="preserve">Trivy / Snyk (SCA)</w:t>
            </w:r>
          </w:p>
        </w:tc>
        <w:tc>
          <w:tcPr>
            <w:tcW w:type="dxa" w:w="2100"/>
            <w:shd w:fill="FFFFFF"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Build blocked on any dependency with CVSS ≥ 7.0.</w:t>
            </w:r>
          </w:p>
        </w:tc>
      </w:tr>
      <w:tr>
        <w:tc>
          <w:tcPr>
            <w:tcW w:type="dxa" w:w="2000"/>
            <w:shd w:fill="F7F9FA" w:val="clear"/>
            <w:tcMar>
              <w:top w:type="dxa" w:w="90"/>
              <w:left w:type="dxa" w:w="120"/>
              <w:bottom w:type="dxa" w:w="90"/>
              <w:right w:type="dxa" w:w="120"/>
            </w:tcMar>
            <w:vAlign w:val="center"/>
          </w:tcPr>
          <w:p>
            <w:pPr>
              <w:jc w:val="left"/>
            </w:pPr>
            <w:r>
              <w:rPr>
                <w:b/>
                <w:bCs/>
                <w:i w:val="false"/>
                <w:iCs w:val="false"/>
                <w:color w:val="123C5E"/>
                <w:sz w:val="18"/>
                <w:szCs w:val="18"/>
              </w:rPr>
              <w:t xml:space="preserve">Dockerfile &amp; Base Image</w:t>
            </w:r>
          </w:p>
        </w:tc>
        <w:tc>
          <w:tcPr>
            <w:tcW w:type="dxa" w:w="2900"/>
            <w:shd w:fill="F7F9FA"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OS-package CVEs, insecure base layers, root-user execution</w:t>
            </w:r>
          </w:p>
        </w:tc>
        <w:tc>
          <w:tcPr>
            <w:tcW w:type="dxa" w:w="2100"/>
            <w:shd w:fill="F7F9FA" w:val="clear"/>
            <w:tcMar>
              <w:top w:type="dxa" w:w="90"/>
              <w:left w:type="dxa" w:w="120"/>
              <w:bottom w:type="dxa" w:w="90"/>
              <w:right w:type="dxa" w:w="120"/>
            </w:tcMar>
            <w:vAlign w:val="center"/>
          </w:tcPr>
          <w:p>
            <w:pPr>
              <w:jc w:val="left"/>
            </w:pPr>
            <w:r>
              <w:rPr>
                <w:b/>
                <w:bCs/>
                <w:i w:val="false"/>
                <w:iCs w:val="false"/>
                <w:color w:val="1B1F23"/>
                <w:sz w:val="18"/>
                <w:szCs w:val="18"/>
              </w:rPr>
              <w:t xml:space="preserve">Trivy / Grype (Container Scan)</w:t>
            </w:r>
          </w:p>
        </w:tc>
        <w:tc>
          <w:tcPr>
            <w:tcW w:type="dxa" w:w="2100"/>
            <w:shd w:fill="F7F9FA"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Registry push blocked on Critical CVEs; enforced non-root USER check.</w:t>
            </w:r>
          </w:p>
        </w:tc>
      </w:tr>
      <w:tr>
        <w:tc>
          <w:tcPr>
            <w:tcW w:type="dxa" w:w="2000"/>
            <w:shd w:fill="FFFFFF" w:val="clear"/>
            <w:tcMar>
              <w:top w:type="dxa" w:w="90"/>
              <w:left w:type="dxa" w:w="120"/>
              <w:bottom w:type="dxa" w:w="90"/>
              <w:right w:type="dxa" w:w="120"/>
            </w:tcMar>
            <w:vAlign w:val="center"/>
          </w:tcPr>
          <w:p>
            <w:pPr>
              <w:jc w:val="left"/>
            </w:pPr>
            <w:r>
              <w:rPr>
                <w:b/>
                <w:bCs/>
                <w:i w:val="false"/>
                <w:iCs w:val="false"/>
                <w:color w:val="123C5E"/>
                <w:sz w:val="18"/>
                <w:szCs w:val="18"/>
              </w:rPr>
              <w:t xml:space="preserve">Config &amp; Git History</w:t>
            </w:r>
          </w:p>
        </w:tc>
        <w:tc>
          <w:tcPr>
            <w:tcW w:type="dxa" w:w="2900"/>
            <w:shd w:fill="FFFFFF"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Hardcoded secrets, leaked API keys/tokens, committed .env files</w:t>
            </w:r>
          </w:p>
        </w:tc>
        <w:tc>
          <w:tcPr>
            <w:tcW w:type="dxa" w:w="2100"/>
            <w:shd w:fill="FFFFFF" w:val="clear"/>
            <w:tcMar>
              <w:top w:type="dxa" w:w="90"/>
              <w:left w:type="dxa" w:w="120"/>
              <w:bottom w:type="dxa" w:w="90"/>
              <w:right w:type="dxa" w:w="120"/>
            </w:tcMar>
            <w:vAlign w:val="center"/>
          </w:tcPr>
          <w:p>
            <w:pPr>
              <w:jc w:val="left"/>
            </w:pPr>
            <w:r>
              <w:rPr>
                <w:b/>
                <w:bCs/>
                <w:i w:val="false"/>
                <w:iCs w:val="false"/>
                <w:color w:val="1B1F23"/>
                <w:sz w:val="18"/>
                <w:szCs w:val="18"/>
              </w:rPr>
              <w:t xml:space="preserve">TruffleHog (Secret Scan)</w:t>
            </w:r>
          </w:p>
        </w:tc>
        <w:tc>
          <w:tcPr>
            <w:tcW w:type="dxa" w:w="2100"/>
            <w:shd w:fill="FFFFFF" w:val="clear"/>
            <w:tcMar>
              <w:top w:type="dxa" w:w="90"/>
              <w:left w:type="dxa" w:w="120"/>
              <w:bottom w:type="dxa" w:w="90"/>
              <w:right w:type="dxa" w:w="120"/>
            </w:tcMar>
            <w:vAlign w:val="center"/>
          </w:tcPr>
          <w:p>
            <w:pPr>
              <w:jc w:val="left"/>
            </w:pPr>
            <w:r>
              <w:rPr>
                <w:b w:val="false"/>
                <w:bCs w:val="false"/>
                <w:i w:val="false"/>
                <w:iCs w:val="false"/>
                <w:color w:val="1B1F23"/>
                <w:sz w:val="18"/>
                <w:szCs w:val="18"/>
              </w:rPr>
              <w:t xml:space="preserve">Commit blocked locally; CI gate fails on any verified secret match.</w:t>
            </w:r>
          </w:p>
        </w:tc>
      </w:tr>
    </w:tbl>
    <w:p>
      <w:pPr>
        <w:pStyle w:val="Heading2"/>
        <w:spacing w:after="120" w:before="380"/>
      </w:pPr>
      <w:r>
        <w:rPr>
          <w:b/>
          <w:bCs/>
          <w:color w:val="3A4552"/>
          <w:sz w:val="24"/>
          <w:szCs w:val="24"/>
        </w:rPr>
        <w:t xml:space="preserve">5.1  Pipeline Gate Flow</w:t>
      </w:r>
    </w:p>
    <w:p>
      <w:pPr>
        <w:spacing w:after="60" w:before="200"/>
        <w:jc w:val="center"/>
      </w:pPr>
      <w:r>
        <w:drawing>
          <wp:inline distT="0" distB="0" distL="0" distR="0">
            <wp:extent cx="3276600" cy="718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76600" cy="7181850"/>
                    </a:xfrm>
                    <a:prstGeom prst="rect">
                      <a:avLst/>
                    </a:prstGeom>
                  </pic:spPr>
                </pic:pic>
              </a:graphicData>
            </a:graphic>
          </wp:inline>
        </w:drawing>
      </w:r>
    </w:p>
    <w:p>
      <w:pPr>
        <w:spacing w:after="360" w:before="120"/>
        <w:jc w:val="center"/>
      </w:pPr>
      <w:r>
        <w:rPr>
          <w:b/>
          <w:bCs/>
          <w:color w:val="C9982F"/>
          <w:sz w:val="18"/>
          <w:szCs w:val="18"/>
        </w:rPr>
        <w:t xml:space="preserve">Figure 3.  </w:t>
      </w:r>
      <w:r>
        <w:rPr>
          <w:i/>
          <w:iCs/>
          <w:color w:val="3A4552"/>
          <w:sz w:val="18"/>
          <w:szCs w:val="18"/>
        </w:rPr>
        <w:t xml:space="preserve">Every gate is a hard stop, not an advisory report — a failed scan halts progression to the next pipeline stage.</w:t>
      </w:r>
    </w:p>
    <w:p>
      <w:pPr>
        <w:spacing w:before="200"/>
      </w:pPr>
      <w:r>
        <w:t xml:space="preserve"/>
      </w:r>
    </w:p>
    <w:p>
      <w:pPr>
        <w:pStyle w:val="Heading1"/>
        <w:pBdr>
          <w:left w:val="single" w:color="123C5E" w:sz="24" w:space="8"/>
        </w:pBdr>
        <w:spacing w:after="200" w:before="420"/>
        <w:ind w:left="0"/>
      </w:pPr>
      <w:r>
        <w:rPr>
          <w:b/>
          <w:bCs/>
          <w:color w:val="123C5E"/>
        </w:rPr>
        <w:t xml:space="preserve">  6.  Local Development Setup &amp; Orchestration</w:t>
      </w:r>
    </w:p>
    <w:p>
      <w:pPr>
        <w:spacing w:after="160" w:line="288"/>
        <w:jc w:val="left"/>
      </w:pPr>
      <w:r>
        <w:rPr>
          <w:b w:val="false"/>
          <w:bCs w:val="false"/>
          <w:i w:val="false"/>
          <w:iCs w:val="false"/>
          <w:color w:val="1B1F23"/>
          <w:sz w:val="21"/>
          <w:szCs w:val="21"/>
        </w:rPr>
        <w:t xml:space="preserve">Local development mirrors the production isolation model using Docker Compose, with Vault running in -dev mode (in-memory, auto-unsealed) purely for developer convenience — this mode is explicitly forbidden beyond local use.</w:t>
      </w:r>
    </w:p>
    <w:p>
      <w:pPr>
        <w:pStyle w:val="Heading2"/>
        <w:spacing w:after="120" w:before="220"/>
      </w:pPr>
      <w:r>
        <w:rPr>
          <w:b/>
          <w:bCs/>
          <w:color w:val="3A4552"/>
          <w:sz w:val="24"/>
          <w:szCs w:val="24"/>
        </w:rPr>
        <w:t xml:space="preserve">6.1  docker-compose.yml Reference</w:t>
      </w:r>
    </w:p>
    <w:tbl>
      <w:tblPr>
        <w:tblW w:type="pct" w:w="100%"/>
        <w:tblBorders>
          <w:top w:val="single" w:color="3A4552" w:sz="4"/>
          <w:left w:val="single" w:color="3A4552" w:sz="4"/>
          <w:bottom w:val="single" w:color="3A4552" w:sz="4"/>
          <w:right w:val="single" w:color="3A4552" w:sz="4"/>
          <w:insideH w:val="none" w:color="FFFFFF" w:sz="0"/>
          <w:insideV w:val="none" w:color="FFFFFF" w:sz="0"/>
        </w:tblBorders>
      </w:tblPr>
      <w:tblGrid>
        <w:gridCol w:w="100"/>
      </w:tblGrid>
      <w:tr>
        <w:tc>
          <w:tcPr>
            <w:shd w:fill="1E2530" w:val="clear"/>
            <w:tcMar>
              <w:top w:type="dxa" w:w="220"/>
              <w:left w:type="dxa" w:w="260"/>
              <w:bottom w:type="dxa" w:w="220"/>
              <w:right w:type="dxa" w:w="260"/>
            </w:tcMar>
          </w:tcPr>
          <w:p>
            <w:pPr>
              <w:spacing w:after="20"/>
            </w:pPr>
            <w:r>
              <w:rPr>
                <w:rFonts w:ascii="Consolas" w:cs="Consolas" w:eastAsia="Consolas" w:hAnsi="Consolas"/>
                <w:color w:val="E6E9EF"/>
                <w:sz w:val="18"/>
                <w:szCs w:val="18"/>
              </w:rPr>
              <w:t xml:space="preserve">version: "3.9"</w:t>
            </w:r>
          </w:p>
          <w:p>
            <w:pPr>
              <w:spacing w:after="20"/>
            </w:pPr>
            <w:r>
              <w:rPr>
                <w:rFonts w:ascii="Consolas" w:cs="Consolas" w:eastAsia="Consolas" w:hAnsi="Consolas"/>
                <w:color w:val="E6E9EF"/>
                <w:sz w:val="18"/>
                <w:szCs w:val="18"/>
              </w:rPr>
              <w:t xml:space="preserve"> </w:t>
            </w:r>
          </w:p>
          <w:p>
            <w:pPr>
              <w:spacing w:after="20"/>
            </w:pPr>
            <w:r>
              <w:rPr>
                <w:rFonts w:ascii="Consolas" w:cs="Consolas" w:eastAsia="Consolas" w:hAnsi="Consolas"/>
                <w:color w:val="8AB4F8"/>
                <w:sz w:val="18"/>
                <w:szCs w:val="18"/>
              </w:rPr>
              <w:t xml:space="preserve">services:</w:t>
            </w:r>
          </w:p>
          <w:p>
            <w:pPr>
              <w:spacing w:after="20"/>
            </w:pPr>
            <w:r>
              <w:rPr>
                <w:rFonts w:ascii="Consolas" w:cs="Consolas" w:eastAsia="Consolas" w:hAnsi="Consolas"/>
                <w:color w:val="8AB4F8"/>
                <w:sz w:val="18"/>
                <w:szCs w:val="18"/>
              </w:rPr>
              <w:t xml:space="preserve">  nginx:</w:t>
            </w:r>
          </w:p>
          <w:p>
            <w:pPr>
              <w:spacing w:after="20"/>
            </w:pPr>
            <w:r>
              <w:rPr>
                <w:rFonts w:ascii="Consolas" w:cs="Consolas" w:eastAsia="Consolas" w:hAnsi="Consolas"/>
                <w:color w:val="E6E9EF"/>
                <w:sz w:val="18"/>
                <w:szCs w:val="18"/>
              </w:rPr>
              <w:t xml:space="preserve">    image: nginx:1.27-alpine</w:t>
            </w:r>
          </w:p>
          <w:p>
            <w:pPr>
              <w:spacing w:after="20"/>
            </w:pPr>
            <w:r>
              <w:rPr>
                <w:rFonts w:ascii="Consolas" w:cs="Consolas" w:eastAsia="Consolas" w:hAnsi="Consolas"/>
                <w:color w:val="8AB4F8"/>
                <w:sz w:val="18"/>
                <w:szCs w:val="18"/>
              </w:rPr>
              <w:t xml:space="preserve">    ports:</w:t>
            </w:r>
          </w:p>
          <w:p>
            <w:pPr>
              <w:spacing w:after="20"/>
            </w:pPr>
            <w:r>
              <w:rPr>
                <w:rFonts w:ascii="Consolas" w:cs="Consolas" w:eastAsia="Consolas" w:hAnsi="Consolas"/>
                <w:color w:val="E6E9EF"/>
                <w:sz w:val="18"/>
                <w:szCs w:val="18"/>
              </w:rPr>
              <w:t xml:space="preserve">      - "443:443"</w:t>
            </w:r>
          </w:p>
          <w:p>
            <w:pPr>
              <w:spacing w:after="20"/>
            </w:pPr>
            <w:r>
              <w:rPr>
                <w:rFonts w:ascii="Consolas" w:cs="Consolas" w:eastAsia="Consolas" w:hAnsi="Consolas"/>
                <w:color w:val="8AB4F8"/>
                <w:sz w:val="18"/>
                <w:szCs w:val="18"/>
              </w:rPr>
              <w:t xml:space="preserve">    volumes:</w:t>
            </w:r>
          </w:p>
          <w:p>
            <w:pPr>
              <w:spacing w:after="20"/>
            </w:pPr>
            <w:r>
              <w:rPr>
                <w:rFonts w:ascii="Consolas" w:cs="Consolas" w:eastAsia="Consolas" w:hAnsi="Consolas"/>
                <w:color w:val="E6E9EF"/>
                <w:sz w:val="18"/>
                <w:szCs w:val="18"/>
              </w:rPr>
              <w:t xml:space="preserve">      - ./nginx/nginx.conf:/etc/nginx/nginx.conf:ro</w:t>
            </w:r>
          </w:p>
          <w:p>
            <w:pPr>
              <w:spacing w:after="20"/>
            </w:pPr>
            <w:r>
              <w:rPr>
                <w:rFonts w:ascii="Consolas" w:cs="Consolas" w:eastAsia="Consolas" w:hAnsi="Consolas"/>
                <w:color w:val="E6E9EF"/>
                <w:sz w:val="18"/>
                <w:szCs w:val="18"/>
              </w:rPr>
              <w:t xml:space="preserve">      - ./nginx/certs:/etc/nginx/certs:ro</w:t>
            </w:r>
          </w:p>
          <w:p>
            <w:pPr>
              <w:spacing w:after="20"/>
            </w:pPr>
            <w:r>
              <w:rPr>
                <w:rFonts w:ascii="Consolas" w:cs="Consolas" w:eastAsia="Consolas" w:hAnsi="Consolas"/>
                <w:color w:val="8AB4F8"/>
                <w:sz w:val="18"/>
                <w:szCs w:val="18"/>
              </w:rPr>
              <w:t xml:space="preserve">    depends_on:</w:t>
            </w:r>
          </w:p>
          <w:p>
            <w:pPr>
              <w:spacing w:after="20"/>
            </w:pPr>
            <w:r>
              <w:rPr>
                <w:rFonts w:ascii="Consolas" w:cs="Consolas" w:eastAsia="Consolas" w:hAnsi="Consolas"/>
                <w:color w:val="E6E9EF"/>
                <w:sz w:val="18"/>
                <w:szCs w:val="18"/>
              </w:rPr>
              <w:t xml:space="preserve">      - backend</w:t>
            </w:r>
          </w:p>
          <w:p>
            <w:pPr>
              <w:spacing w:after="20"/>
            </w:pPr>
            <w:r>
              <w:rPr>
                <w:rFonts w:ascii="Consolas" w:cs="Consolas" w:eastAsia="Consolas" w:hAnsi="Consolas"/>
                <w:color w:val="8AB4F8"/>
                <w:sz w:val="18"/>
                <w:szCs w:val="18"/>
              </w:rPr>
              <w:t xml:space="preserve">    networks:</w:t>
            </w:r>
          </w:p>
          <w:p>
            <w:pPr>
              <w:spacing w:after="20"/>
            </w:pPr>
            <w:r>
              <w:rPr>
                <w:rFonts w:ascii="Consolas" w:cs="Consolas" w:eastAsia="Consolas" w:hAnsi="Consolas"/>
                <w:color w:val="E6E9EF"/>
                <w:sz w:val="18"/>
                <w:szCs w:val="18"/>
              </w:rPr>
              <w:t xml:space="preserve">      - dmz-net</w:t>
            </w:r>
          </w:p>
          <w:p>
            <w:pPr>
              <w:spacing w:after="20"/>
            </w:pPr>
            <w:r>
              <w:rPr>
                <w:rFonts w:ascii="Consolas" w:cs="Consolas" w:eastAsia="Consolas" w:hAnsi="Consolas"/>
                <w:color w:val="E6E9EF"/>
                <w:sz w:val="18"/>
                <w:szCs w:val="18"/>
              </w:rPr>
              <w:t xml:space="preserve"> </w:t>
            </w:r>
          </w:p>
          <w:p>
            <w:pPr>
              <w:spacing w:after="20"/>
            </w:pPr>
            <w:r>
              <w:rPr>
                <w:rFonts w:ascii="Consolas" w:cs="Consolas" w:eastAsia="Consolas" w:hAnsi="Consolas"/>
                <w:color w:val="8AB4F8"/>
                <w:sz w:val="18"/>
                <w:szCs w:val="18"/>
              </w:rPr>
              <w:t xml:space="preserve">  backend:</w:t>
            </w:r>
          </w:p>
          <w:p>
            <w:pPr>
              <w:spacing w:after="20"/>
            </w:pPr>
            <w:r>
              <w:rPr>
                <w:rFonts w:ascii="Consolas" w:cs="Consolas" w:eastAsia="Consolas" w:hAnsi="Consolas"/>
                <w:color w:val="8AB4F8"/>
                <w:sz w:val="18"/>
                <w:szCs w:val="18"/>
              </w:rPr>
              <w:t xml:space="preserve">    build:</w:t>
            </w:r>
          </w:p>
          <w:p>
            <w:pPr>
              <w:spacing w:after="20"/>
            </w:pPr>
            <w:r>
              <w:rPr>
                <w:rFonts w:ascii="Consolas" w:cs="Consolas" w:eastAsia="Consolas" w:hAnsi="Consolas"/>
                <w:color w:val="E6E9EF"/>
                <w:sz w:val="18"/>
                <w:szCs w:val="18"/>
              </w:rPr>
              <w:t xml:space="preserve">      context: ./backend</w:t>
            </w:r>
          </w:p>
          <w:p>
            <w:pPr>
              <w:spacing w:after="20"/>
            </w:pPr>
            <w:r>
              <w:rPr>
                <w:rFonts w:ascii="Consolas" w:cs="Consolas" w:eastAsia="Consolas" w:hAnsi="Consolas"/>
                <w:color w:val="E6E9EF"/>
                <w:sz w:val="18"/>
                <w:szCs w:val="18"/>
              </w:rPr>
              <w:t xml:space="preserve">      dockerfile: Dockerfile</w:t>
            </w:r>
          </w:p>
          <w:p>
            <w:pPr>
              <w:spacing w:after="20"/>
            </w:pPr>
            <w:r>
              <w:rPr>
                <w:rFonts w:ascii="Consolas" w:cs="Consolas" w:eastAsia="Consolas" w:hAnsi="Consolas"/>
                <w:color w:val="8AB4F8"/>
                <w:sz w:val="18"/>
                <w:szCs w:val="18"/>
              </w:rPr>
              <w:t xml:space="preserve">    environment:</w:t>
            </w:r>
          </w:p>
          <w:p>
            <w:pPr>
              <w:spacing w:after="20"/>
            </w:pPr>
            <w:r>
              <w:rPr>
                <w:rFonts w:ascii="Consolas" w:cs="Consolas" w:eastAsia="Consolas" w:hAnsi="Consolas"/>
                <w:color w:val="E6E9EF"/>
                <w:sz w:val="18"/>
                <w:szCs w:val="18"/>
              </w:rPr>
              <w:t xml:space="preserve">      SPRING_PROFILES_ACTIVE: dev</w:t>
            </w:r>
          </w:p>
          <w:p>
            <w:pPr>
              <w:spacing w:after="20"/>
            </w:pPr>
            <w:r>
              <w:rPr>
                <w:rFonts w:ascii="Consolas" w:cs="Consolas" w:eastAsia="Consolas" w:hAnsi="Consolas"/>
                <w:color w:val="E6E9EF"/>
                <w:sz w:val="18"/>
                <w:szCs w:val="18"/>
              </w:rPr>
              <w:t xml:space="preserve">      VAULT_ADDR: http://vault:8200</w:t>
            </w:r>
          </w:p>
          <w:p>
            <w:pPr>
              <w:spacing w:after="20"/>
            </w:pPr>
            <w:r>
              <w:rPr>
                <w:rFonts w:ascii="Consolas" w:cs="Consolas" w:eastAsia="Consolas" w:hAnsi="Consolas"/>
                <w:color w:val="E6E9EF"/>
                <w:sz w:val="18"/>
                <w:szCs w:val="18"/>
              </w:rPr>
              <w:t xml:space="preserve">      VAULT_TOKEN: ${VAULT_DEV_ROOT_TOKEN}</w:t>
            </w:r>
          </w:p>
          <w:p>
            <w:pPr>
              <w:spacing w:after="20"/>
            </w:pPr>
            <w:r>
              <w:rPr>
                <w:rFonts w:ascii="Consolas" w:cs="Consolas" w:eastAsia="Consolas" w:hAnsi="Consolas"/>
                <w:color w:val="8AB4F8"/>
                <w:sz w:val="18"/>
                <w:szCs w:val="18"/>
              </w:rPr>
              <w:t xml:space="preserve">    depends_on:</w:t>
            </w:r>
          </w:p>
          <w:p>
            <w:pPr>
              <w:spacing w:after="20"/>
            </w:pPr>
            <w:r>
              <w:rPr>
                <w:rFonts w:ascii="Consolas" w:cs="Consolas" w:eastAsia="Consolas" w:hAnsi="Consolas"/>
                <w:color w:val="E6E9EF"/>
                <w:sz w:val="18"/>
                <w:szCs w:val="18"/>
              </w:rPr>
              <w:t xml:space="preserve">      - postgres</w:t>
            </w:r>
          </w:p>
          <w:p>
            <w:pPr>
              <w:spacing w:after="20"/>
            </w:pPr>
            <w:r>
              <w:rPr>
                <w:rFonts w:ascii="Consolas" w:cs="Consolas" w:eastAsia="Consolas" w:hAnsi="Consolas"/>
                <w:color w:val="E6E9EF"/>
                <w:sz w:val="18"/>
                <w:szCs w:val="18"/>
              </w:rPr>
              <w:t xml:space="preserve">      - vault</w:t>
            </w:r>
          </w:p>
          <w:p>
            <w:pPr>
              <w:spacing w:after="20"/>
            </w:pPr>
            <w:r>
              <w:rPr>
                <w:rFonts w:ascii="Consolas" w:cs="Consolas" w:eastAsia="Consolas" w:hAnsi="Consolas"/>
                <w:color w:val="8AB4F8"/>
                <w:sz w:val="18"/>
                <w:szCs w:val="18"/>
              </w:rPr>
              <w:t xml:space="preserve">    networks:</w:t>
            </w:r>
          </w:p>
          <w:p>
            <w:pPr>
              <w:spacing w:after="20"/>
            </w:pPr>
            <w:r>
              <w:rPr>
                <w:rFonts w:ascii="Consolas" w:cs="Consolas" w:eastAsia="Consolas" w:hAnsi="Consolas"/>
                <w:color w:val="E6E9EF"/>
                <w:sz w:val="18"/>
                <w:szCs w:val="18"/>
              </w:rPr>
              <w:t xml:space="preserve">      - dmz-net</w:t>
            </w:r>
          </w:p>
          <w:p>
            <w:pPr>
              <w:spacing w:after="20"/>
            </w:pPr>
            <w:r>
              <w:rPr>
                <w:rFonts w:ascii="Consolas" w:cs="Consolas" w:eastAsia="Consolas" w:hAnsi="Consolas"/>
                <w:color w:val="E6E9EF"/>
                <w:sz w:val="18"/>
                <w:szCs w:val="18"/>
              </w:rPr>
              <w:t xml:space="preserve">      - app-net</w:t>
            </w:r>
          </w:p>
          <w:p>
            <w:pPr>
              <w:spacing w:after="20"/>
            </w:pPr>
            <w:r>
              <w:rPr>
                <w:rFonts w:ascii="Consolas" w:cs="Consolas" w:eastAsia="Consolas" w:hAnsi="Consolas"/>
                <w:color w:val="E6E9EF"/>
                <w:sz w:val="18"/>
                <w:szCs w:val="18"/>
              </w:rPr>
              <w:t xml:space="preserve">      - data-net</w:t>
            </w:r>
          </w:p>
          <w:p>
            <w:pPr>
              <w:spacing w:after="20"/>
            </w:pPr>
            <w:r>
              <w:rPr>
                <w:rFonts w:ascii="Consolas" w:cs="Consolas" w:eastAsia="Consolas" w:hAnsi="Consolas"/>
                <w:color w:val="8AB4F8"/>
                <w:sz w:val="18"/>
                <w:szCs w:val="18"/>
              </w:rPr>
              <w:t xml:space="preserve">    expose:</w:t>
            </w:r>
          </w:p>
          <w:p>
            <w:pPr>
              <w:spacing w:after="20"/>
            </w:pPr>
            <w:r>
              <w:rPr>
                <w:rFonts w:ascii="Consolas" w:cs="Consolas" w:eastAsia="Consolas" w:hAnsi="Consolas"/>
                <w:color w:val="E6E9EF"/>
                <w:sz w:val="18"/>
                <w:szCs w:val="18"/>
              </w:rPr>
              <w:t xml:space="preserve">      - "8080"</w:t>
            </w:r>
          </w:p>
          <w:p>
            <w:pPr>
              <w:spacing w:after="20"/>
            </w:pPr>
            <w:r>
              <w:rPr>
                <w:rFonts w:ascii="Consolas" w:cs="Consolas" w:eastAsia="Consolas" w:hAnsi="Consolas"/>
                <w:color w:val="E6E9EF"/>
                <w:sz w:val="18"/>
                <w:szCs w:val="18"/>
              </w:rPr>
              <w:t xml:space="preserve"> </w:t>
            </w:r>
          </w:p>
          <w:p>
            <w:pPr>
              <w:spacing w:after="20"/>
            </w:pPr>
            <w:r>
              <w:rPr>
                <w:rFonts w:ascii="Consolas" w:cs="Consolas" w:eastAsia="Consolas" w:hAnsi="Consolas"/>
                <w:color w:val="8AB4F8"/>
                <w:sz w:val="18"/>
                <w:szCs w:val="18"/>
              </w:rPr>
              <w:t xml:space="preserve">  postgres:</w:t>
            </w:r>
          </w:p>
          <w:p>
            <w:pPr>
              <w:spacing w:after="20"/>
            </w:pPr>
            <w:r>
              <w:rPr>
                <w:rFonts w:ascii="Consolas" w:cs="Consolas" w:eastAsia="Consolas" w:hAnsi="Consolas"/>
                <w:color w:val="E6E9EF"/>
                <w:sz w:val="18"/>
                <w:szCs w:val="18"/>
              </w:rPr>
              <w:t xml:space="preserve">    image: postgres:16-alpine</w:t>
            </w:r>
          </w:p>
          <w:p>
            <w:pPr>
              <w:spacing w:after="20"/>
            </w:pPr>
            <w:r>
              <w:rPr>
                <w:rFonts w:ascii="Consolas" w:cs="Consolas" w:eastAsia="Consolas" w:hAnsi="Consolas"/>
                <w:color w:val="8AB4F8"/>
                <w:sz w:val="18"/>
                <w:szCs w:val="18"/>
              </w:rPr>
              <w:t xml:space="preserve">    environment:</w:t>
            </w:r>
          </w:p>
          <w:p>
            <w:pPr>
              <w:spacing w:after="20"/>
            </w:pPr>
            <w:r>
              <w:rPr>
                <w:rFonts w:ascii="Consolas" w:cs="Consolas" w:eastAsia="Consolas" w:hAnsi="Consolas"/>
                <w:color w:val="E6E9EF"/>
                <w:sz w:val="18"/>
                <w:szCs w:val="18"/>
              </w:rPr>
              <w:t xml:space="preserve">      POSTGRES_DB: password_reset_platform</w:t>
            </w:r>
          </w:p>
          <w:p>
            <w:pPr>
              <w:spacing w:after="20"/>
            </w:pPr>
            <w:r>
              <w:rPr>
                <w:rFonts w:ascii="Consolas" w:cs="Consolas" w:eastAsia="Consolas" w:hAnsi="Consolas"/>
                <w:color w:val="E6E9EF"/>
                <w:sz w:val="18"/>
                <w:szCs w:val="18"/>
              </w:rPr>
              <w:t xml:space="preserve">      POSTGRES_USER: vault_managed</w:t>
            </w:r>
          </w:p>
          <w:p>
            <w:pPr>
              <w:spacing w:after="20"/>
            </w:pPr>
            <w:r>
              <w:rPr>
                <w:rFonts w:ascii="Consolas" w:cs="Consolas" w:eastAsia="Consolas" w:hAnsi="Consolas"/>
                <w:color w:val="E6E9EF"/>
                <w:sz w:val="18"/>
                <w:szCs w:val="18"/>
              </w:rPr>
              <w:t xml:space="preserve">      POSTGRES_PASSWORD: ${POSTGRES_BOOTSTRAP_PW}</w:t>
            </w:r>
          </w:p>
          <w:p>
            <w:pPr>
              <w:spacing w:after="20"/>
            </w:pPr>
            <w:r>
              <w:rPr>
                <w:rFonts w:ascii="Consolas" w:cs="Consolas" w:eastAsia="Consolas" w:hAnsi="Consolas"/>
                <w:color w:val="8AB4F8"/>
                <w:sz w:val="18"/>
                <w:szCs w:val="18"/>
              </w:rPr>
              <w:t xml:space="preserve">    volumes:</w:t>
            </w:r>
          </w:p>
          <w:p>
            <w:pPr>
              <w:spacing w:after="20"/>
            </w:pPr>
            <w:r>
              <w:rPr>
                <w:rFonts w:ascii="Consolas" w:cs="Consolas" w:eastAsia="Consolas" w:hAnsi="Consolas"/>
                <w:color w:val="E6E9EF"/>
                <w:sz w:val="18"/>
                <w:szCs w:val="18"/>
              </w:rPr>
              <w:t xml:space="preserve">      - pg-data:/var/lib/postgresql/data</w:t>
            </w:r>
          </w:p>
          <w:p>
            <w:pPr>
              <w:spacing w:after="20"/>
            </w:pPr>
            <w:r>
              <w:rPr>
                <w:rFonts w:ascii="Consolas" w:cs="Consolas" w:eastAsia="Consolas" w:hAnsi="Consolas"/>
                <w:color w:val="8AB4F8"/>
                <w:sz w:val="18"/>
                <w:szCs w:val="18"/>
              </w:rPr>
              <w:t xml:space="preserve">    networks:</w:t>
            </w:r>
          </w:p>
          <w:p>
            <w:pPr>
              <w:spacing w:after="20"/>
            </w:pPr>
            <w:r>
              <w:rPr>
                <w:rFonts w:ascii="Consolas" w:cs="Consolas" w:eastAsia="Consolas" w:hAnsi="Consolas"/>
                <w:color w:val="E6E9EF"/>
                <w:sz w:val="18"/>
                <w:szCs w:val="18"/>
              </w:rPr>
              <w:t xml:space="preserve">      - data-net</w:t>
            </w:r>
          </w:p>
          <w:p>
            <w:pPr>
              <w:spacing w:after="20"/>
            </w:pPr>
            <w:r>
              <w:rPr>
                <w:rFonts w:ascii="Consolas" w:cs="Consolas" w:eastAsia="Consolas" w:hAnsi="Consolas"/>
                <w:color w:val="8AB4F8"/>
                <w:sz w:val="18"/>
                <w:szCs w:val="18"/>
              </w:rPr>
              <w:t xml:space="preserve">    expose:</w:t>
            </w:r>
          </w:p>
          <w:p>
            <w:pPr>
              <w:spacing w:after="20"/>
            </w:pPr>
            <w:r>
              <w:rPr>
                <w:rFonts w:ascii="Consolas" w:cs="Consolas" w:eastAsia="Consolas" w:hAnsi="Consolas"/>
                <w:color w:val="E6E9EF"/>
                <w:sz w:val="18"/>
                <w:szCs w:val="18"/>
              </w:rPr>
              <w:t xml:space="preserve">      - "5432"</w:t>
            </w:r>
          </w:p>
          <w:p>
            <w:pPr>
              <w:spacing w:after="20"/>
            </w:pPr>
            <w:r>
              <w:rPr>
                <w:rFonts w:ascii="Consolas" w:cs="Consolas" w:eastAsia="Consolas" w:hAnsi="Consolas"/>
                <w:color w:val="E6E9EF"/>
                <w:sz w:val="18"/>
                <w:szCs w:val="18"/>
              </w:rPr>
              <w:t xml:space="preserve"> </w:t>
            </w:r>
          </w:p>
          <w:p>
            <w:pPr>
              <w:spacing w:after="20"/>
            </w:pPr>
            <w:r>
              <w:rPr>
                <w:rFonts w:ascii="Consolas" w:cs="Consolas" w:eastAsia="Consolas" w:hAnsi="Consolas"/>
                <w:color w:val="8AB4F8"/>
                <w:sz w:val="18"/>
                <w:szCs w:val="18"/>
              </w:rPr>
              <w:t xml:space="preserve">  vault:</w:t>
            </w:r>
          </w:p>
          <w:p>
            <w:pPr>
              <w:spacing w:after="20"/>
            </w:pPr>
            <w:r>
              <w:rPr>
                <w:rFonts w:ascii="Consolas" w:cs="Consolas" w:eastAsia="Consolas" w:hAnsi="Consolas"/>
                <w:color w:val="E6E9EF"/>
                <w:sz w:val="18"/>
                <w:szCs w:val="18"/>
              </w:rPr>
              <w:t xml:space="preserve">    image: hashicorp/vault:1.17</w:t>
            </w:r>
          </w:p>
          <w:p>
            <w:pPr>
              <w:spacing w:after="20"/>
            </w:pPr>
            <w:r>
              <w:rPr>
                <w:rFonts w:ascii="Consolas" w:cs="Consolas" w:eastAsia="Consolas" w:hAnsi="Consolas"/>
                <w:color w:val="E6E9EF"/>
                <w:sz w:val="18"/>
                <w:szCs w:val="18"/>
              </w:rPr>
              <w:t xml:space="preserve">    command: server -dev -dev-root-token-id=${VAULT_DEV_ROOT_TOKEN}</w:t>
            </w:r>
          </w:p>
          <w:p>
            <w:pPr>
              <w:spacing w:after="20"/>
            </w:pPr>
            <w:r>
              <w:rPr>
                <w:rFonts w:ascii="Consolas" w:cs="Consolas" w:eastAsia="Consolas" w:hAnsi="Consolas"/>
                <w:color w:val="8AB4F8"/>
                <w:sz w:val="18"/>
                <w:szCs w:val="18"/>
              </w:rPr>
              <w:t xml:space="preserve">    cap_add:</w:t>
            </w:r>
          </w:p>
          <w:p>
            <w:pPr>
              <w:spacing w:after="20"/>
            </w:pPr>
            <w:r>
              <w:rPr>
                <w:rFonts w:ascii="Consolas" w:cs="Consolas" w:eastAsia="Consolas" w:hAnsi="Consolas"/>
                <w:color w:val="E6E9EF"/>
                <w:sz w:val="18"/>
                <w:szCs w:val="18"/>
              </w:rPr>
              <w:t xml:space="preserve">      - IPC_LOCK</w:t>
            </w:r>
          </w:p>
          <w:p>
            <w:pPr>
              <w:spacing w:after="20"/>
            </w:pPr>
            <w:r>
              <w:rPr>
                <w:rFonts w:ascii="Consolas" w:cs="Consolas" w:eastAsia="Consolas" w:hAnsi="Consolas"/>
                <w:color w:val="8AB4F8"/>
                <w:sz w:val="18"/>
                <w:szCs w:val="18"/>
              </w:rPr>
              <w:t xml:space="preserve">    environment:</w:t>
            </w:r>
          </w:p>
          <w:p>
            <w:pPr>
              <w:spacing w:after="20"/>
            </w:pPr>
            <w:r>
              <w:rPr>
                <w:rFonts w:ascii="Consolas" w:cs="Consolas" w:eastAsia="Consolas" w:hAnsi="Consolas"/>
                <w:color w:val="E6E9EF"/>
                <w:sz w:val="18"/>
                <w:szCs w:val="18"/>
              </w:rPr>
              <w:t xml:space="preserve">      VAULT_DEV_LISTEN_ADDRESS: 0.0.0.0:8200</w:t>
            </w:r>
          </w:p>
          <w:p>
            <w:pPr>
              <w:spacing w:after="20"/>
            </w:pPr>
            <w:r>
              <w:rPr>
                <w:rFonts w:ascii="Consolas" w:cs="Consolas" w:eastAsia="Consolas" w:hAnsi="Consolas"/>
                <w:color w:val="8AB4F8"/>
                <w:sz w:val="18"/>
                <w:szCs w:val="18"/>
              </w:rPr>
              <w:t xml:space="preserve">    networks:</w:t>
            </w:r>
          </w:p>
          <w:p>
            <w:pPr>
              <w:spacing w:after="20"/>
            </w:pPr>
            <w:r>
              <w:rPr>
                <w:rFonts w:ascii="Consolas" w:cs="Consolas" w:eastAsia="Consolas" w:hAnsi="Consolas"/>
                <w:color w:val="E6E9EF"/>
                <w:sz w:val="18"/>
                <w:szCs w:val="18"/>
              </w:rPr>
              <w:t xml:space="preserve">      - app-net</w:t>
            </w:r>
          </w:p>
          <w:p>
            <w:pPr>
              <w:spacing w:after="20"/>
            </w:pPr>
            <w:r>
              <w:rPr>
                <w:rFonts w:ascii="Consolas" w:cs="Consolas" w:eastAsia="Consolas" w:hAnsi="Consolas"/>
                <w:color w:val="E6E9EF"/>
                <w:sz w:val="18"/>
                <w:szCs w:val="18"/>
              </w:rPr>
              <w:t xml:space="preserve">      - data-net</w:t>
            </w:r>
          </w:p>
          <w:p>
            <w:pPr>
              <w:spacing w:after="20"/>
            </w:pPr>
            <w:r>
              <w:rPr>
                <w:rFonts w:ascii="Consolas" w:cs="Consolas" w:eastAsia="Consolas" w:hAnsi="Consolas"/>
                <w:color w:val="8AB4F8"/>
                <w:sz w:val="18"/>
                <w:szCs w:val="18"/>
              </w:rPr>
              <w:t xml:space="preserve">    expose:</w:t>
            </w:r>
          </w:p>
          <w:p>
            <w:pPr>
              <w:spacing w:after="20"/>
            </w:pPr>
            <w:r>
              <w:rPr>
                <w:rFonts w:ascii="Consolas" w:cs="Consolas" w:eastAsia="Consolas" w:hAnsi="Consolas"/>
                <w:color w:val="E6E9EF"/>
                <w:sz w:val="18"/>
                <w:szCs w:val="18"/>
              </w:rPr>
              <w:t xml:space="preserve">      - "8200"</w:t>
            </w:r>
          </w:p>
          <w:p>
            <w:pPr>
              <w:spacing w:after="20"/>
            </w:pPr>
            <w:r>
              <w:rPr>
                <w:rFonts w:ascii="Consolas" w:cs="Consolas" w:eastAsia="Consolas" w:hAnsi="Consolas"/>
                <w:color w:val="E6E9EF"/>
                <w:sz w:val="18"/>
                <w:szCs w:val="18"/>
              </w:rPr>
              <w:t xml:space="preserve"> </w:t>
            </w:r>
          </w:p>
          <w:p>
            <w:pPr>
              <w:spacing w:after="20"/>
            </w:pPr>
            <w:r>
              <w:rPr>
                <w:rFonts w:ascii="Consolas" w:cs="Consolas" w:eastAsia="Consolas" w:hAnsi="Consolas"/>
                <w:color w:val="8AB4F8"/>
                <w:sz w:val="18"/>
                <w:szCs w:val="18"/>
              </w:rPr>
              <w:t xml:space="preserve">networks:</w:t>
            </w:r>
          </w:p>
          <w:p>
            <w:pPr>
              <w:spacing w:after="20"/>
            </w:pPr>
            <w:r>
              <w:rPr>
                <w:rFonts w:ascii="Consolas" w:cs="Consolas" w:eastAsia="Consolas" w:hAnsi="Consolas"/>
                <w:color w:val="8AB4F8"/>
                <w:sz w:val="18"/>
                <w:szCs w:val="18"/>
              </w:rPr>
              <w:t xml:space="preserve">  dmz-net:</w:t>
            </w:r>
          </w:p>
          <w:p>
            <w:pPr>
              <w:spacing w:after="20"/>
            </w:pPr>
            <w:r>
              <w:rPr>
                <w:rFonts w:ascii="Consolas" w:cs="Consolas" w:eastAsia="Consolas" w:hAnsi="Consolas"/>
                <w:color w:val="E6E9EF"/>
                <w:sz w:val="18"/>
                <w:szCs w:val="18"/>
              </w:rPr>
              <w:t xml:space="preserve">    driver: bridge</w:t>
            </w:r>
          </w:p>
          <w:p>
            <w:pPr>
              <w:spacing w:after="20"/>
            </w:pPr>
            <w:r>
              <w:rPr>
                <w:rFonts w:ascii="Consolas" w:cs="Consolas" w:eastAsia="Consolas" w:hAnsi="Consolas"/>
                <w:color w:val="8AB4F8"/>
                <w:sz w:val="18"/>
                <w:szCs w:val="18"/>
              </w:rPr>
              <w:t xml:space="preserve">  app-net:</w:t>
            </w:r>
          </w:p>
          <w:p>
            <w:pPr>
              <w:spacing w:after="20"/>
            </w:pPr>
            <w:r>
              <w:rPr>
                <w:rFonts w:ascii="Consolas" w:cs="Consolas" w:eastAsia="Consolas" w:hAnsi="Consolas"/>
                <w:color w:val="E6E9EF"/>
                <w:sz w:val="18"/>
                <w:szCs w:val="18"/>
              </w:rPr>
              <w:t xml:space="preserve">    driver: bridge</w:t>
            </w:r>
          </w:p>
          <w:p>
            <w:pPr>
              <w:spacing w:after="20"/>
            </w:pPr>
            <w:r>
              <w:rPr>
                <w:rFonts w:ascii="Consolas" w:cs="Consolas" w:eastAsia="Consolas" w:hAnsi="Consolas"/>
                <w:color w:val="E6E9EF"/>
                <w:sz w:val="18"/>
                <w:szCs w:val="18"/>
              </w:rPr>
              <w:t xml:space="preserve">    internal: true</w:t>
            </w:r>
          </w:p>
          <w:p>
            <w:pPr>
              <w:spacing w:after="20"/>
            </w:pPr>
            <w:r>
              <w:rPr>
                <w:rFonts w:ascii="Consolas" w:cs="Consolas" w:eastAsia="Consolas" w:hAnsi="Consolas"/>
                <w:color w:val="8AB4F8"/>
                <w:sz w:val="18"/>
                <w:szCs w:val="18"/>
              </w:rPr>
              <w:t xml:space="preserve">  data-net:</w:t>
            </w:r>
          </w:p>
          <w:p>
            <w:pPr>
              <w:spacing w:after="20"/>
            </w:pPr>
            <w:r>
              <w:rPr>
                <w:rFonts w:ascii="Consolas" w:cs="Consolas" w:eastAsia="Consolas" w:hAnsi="Consolas"/>
                <w:color w:val="E6E9EF"/>
                <w:sz w:val="18"/>
                <w:szCs w:val="18"/>
              </w:rPr>
              <w:t xml:space="preserve">    driver: bridge</w:t>
            </w:r>
          </w:p>
          <w:p>
            <w:pPr>
              <w:spacing w:after="20"/>
            </w:pPr>
            <w:r>
              <w:rPr>
                <w:rFonts w:ascii="Consolas" w:cs="Consolas" w:eastAsia="Consolas" w:hAnsi="Consolas"/>
                <w:color w:val="E6E9EF"/>
                <w:sz w:val="18"/>
                <w:szCs w:val="18"/>
              </w:rPr>
              <w:t xml:space="preserve">    internal: true</w:t>
            </w:r>
          </w:p>
          <w:p>
            <w:pPr>
              <w:spacing w:after="20"/>
            </w:pPr>
            <w:r>
              <w:rPr>
                <w:rFonts w:ascii="Consolas" w:cs="Consolas" w:eastAsia="Consolas" w:hAnsi="Consolas"/>
                <w:color w:val="E6E9EF"/>
                <w:sz w:val="18"/>
                <w:szCs w:val="18"/>
              </w:rPr>
              <w:t xml:space="preserve"> </w:t>
            </w:r>
          </w:p>
          <w:p>
            <w:pPr>
              <w:spacing w:after="20"/>
            </w:pPr>
            <w:r>
              <w:rPr>
                <w:rFonts w:ascii="Consolas" w:cs="Consolas" w:eastAsia="Consolas" w:hAnsi="Consolas"/>
                <w:color w:val="8AB4F8"/>
                <w:sz w:val="18"/>
                <w:szCs w:val="18"/>
              </w:rPr>
              <w:t xml:space="preserve">volumes:</w:t>
            </w:r>
          </w:p>
          <w:p>
            <w:pPr>
              <w:spacing w:after="20"/>
            </w:pPr>
            <w:r>
              <w:rPr>
                <w:rFonts w:ascii="Consolas" w:cs="Consolas" w:eastAsia="Consolas" w:hAnsi="Consolas"/>
                <w:color w:val="8AB4F8"/>
                <w:sz w:val="18"/>
                <w:szCs w:val="18"/>
              </w:rPr>
              <w:t xml:space="preserve">  pg-data:</w:t>
            </w:r>
          </w:p>
          <w:p>
            <w:pPr>
              <w:spacing w:after="20"/>
            </w:pPr>
            <w:r>
              <w:rPr>
                <w:rFonts w:ascii="Consolas" w:cs="Consolas" w:eastAsia="Consolas" w:hAnsi="Consolas"/>
                <w:color w:val="E6E9EF"/>
                <w:sz w:val="18"/>
                <w:szCs w:val="18"/>
              </w:rPr>
              <w:t xml:space="preserve"> </w:t>
            </w:r>
          </w:p>
        </w:tc>
      </w:tr>
    </w:tbl>
    <w:p>
      <w:pPr>
        <w:spacing w:before="260"/>
      </w:pPr>
      <w:r>
        <w:t xml:space="preserve"/>
      </w:r>
    </w:p>
    <w:p>
      <w:pPr>
        <w:pStyle w:val="Heading2"/>
        <w:spacing w:after="120" w:before="200"/>
      </w:pPr>
      <w:r>
        <w:rPr>
          <w:b/>
          <w:bCs/>
          <w:color w:val="3A4552"/>
          <w:sz w:val="24"/>
          <w:szCs w:val="24"/>
        </w:rPr>
        <w:t xml:space="preserve">6.2  Local Orchestration Notes</w:t>
      </w:r>
    </w:p>
    <w:p>
      <w:pPr>
        <w:pStyle w:val="ListParagraph"/>
        <w:numPr>
          <w:ilvl w:val="0"/>
          <w:numId w:val="2"/>
        </w:numPr>
        <w:spacing w:after="90"/>
      </w:pPr>
      <w:r>
        <w:rPr>
          <w:b/>
          <w:bCs/>
          <w:color w:val="123C5E"/>
          <w:sz w:val="21"/>
          <w:szCs w:val="21"/>
        </w:rPr>
        <w:t xml:space="preserve">Network segmentation is preserved locally.</w:t>
      </w:r>
      <w:r>
        <w:rPr>
          <w:color w:val="1B1F23"/>
          <w:sz w:val="21"/>
          <w:szCs w:val="21"/>
        </w:rPr>
        <w:t xml:space="preserve"> app-net and data-net are declared internal: true, so PostgreSQL and Vault remain unreachable from the host network or DMZ, replicating the production isolated-subnet model even in development.</w:t>
      </w:r>
    </w:p>
    <w:p>
      <w:pPr>
        <w:pStyle w:val="ListParagraph"/>
        <w:numPr>
          <w:ilvl w:val="0"/>
          <w:numId w:val="2"/>
        </w:numPr>
        <w:spacing w:after="90"/>
      </w:pPr>
      <w:r>
        <w:rPr>
          <w:b/>
          <w:bCs/>
          <w:color w:val="123C5E"/>
          <w:sz w:val="21"/>
          <w:szCs w:val="21"/>
        </w:rPr>
        <w:t xml:space="preserve">Bootstrap vs. runtime credentials.</w:t>
      </w:r>
      <w:r>
        <w:rPr>
          <w:color w:val="1B1F23"/>
          <w:sz w:val="21"/>
          <w:szCs w:val="21"/>
        </w:rPr>
        <w:t xml:space="preserve"> POSTGRES_BOOTSTRAP_PW is used only for container initialization; the backend never reads this value — it authenticates to Vault and requests a dynamic, TTL-bound PostgreSQL credential pair at startup.</w:t>
      </w:r>
    </w:p>
    <w:p>
      <w:pPr>
        <w:pStyle w:val="ListParagraph"/>
        <w:numPr>
          <w:ilvl w:val="0"/>
          <w:numId w:val="2"/>
        </w:numPr>
        <w:spacing w:after="90"/>
      </w:pPr>
      <w:r>
        <w:rPr>
          <w:b/>
          <w:bCs/>
          <w:color w:val="B33A3A"/>
          <w:sz w:val="21"/>
          <w:szCs w:val="21"/>
        </w:rPr>
        <w:t xml:space="preserve">Dev-mode Vault caveat.</w:t>
      </w:r>
      <w:r>
        <w:rPr>
          <w:color w:val="1B1F23"/>
          <w:sz w:val="21"/>
          <w:szCs w:val="21"/>
        </w:rPr>
        <w:t xml:space="preserve"> -dev mode auto-unseals and stores secrets in memory (non-persistent, single-node). This configuration is explicitly disallowed for staging/production, which must use a properly initialized, HA-backed Vault cluster (Raft or Consul storage).</w:t>
      </w:r>
    </w:p>
    <w:p>
      <w:pPr>
        <w:pStyle w:val="ListParagraph"/>
        <w:numPr>
          <w:ilvl w:val="0"/>
          <w:numId w:val="2"/>
        </w:numPr>
        <w:spacing w:after="90"/>
      </w:pPr>
      <w:r>
        <w:rPr>
          <w:b/>
          <w:bCs/>
          <w:color w:val="123C5E"/>
          <w:sz w:val="21"/>
          <w:szCs w:val="21"/>
        </w:rPr>
        <w:t xml:space="preserve">Startup sequence.</w:t>
      </w:r>
      <w:r>
        <w:rPr>
          <w:color w:val="1B1F23"/>
          <w:sz w:val="21"/>
          <w:szCs w:val="21"/>
        </w:rPr>
        <w:t xml:space="preserve"> vault and postgres must report healthy before backend completes its Vault authentication handshake; a lightweight healthcheck/wait-for-it pattern avoids race conditions on first boot.</w:t>
      </w:r>
    </w:p>
    <w:p>
      <w:pPr>
        <w:pStyle w:val="Heading1"/>
        <w:pBdr>
          <w:left w:val="single" w:color="123C5E" w:sz="24" w:space="8"/>
        </w:pBdr>
        <w:spacing w:after="200" w:before="420"/>
        <w:ind w:left="0"/>
      </w:pPr>
      <w:r>
        <w:rPr>
          <w:b/>
          <w:bCs/>
          <w:color w:val="123C5E"/>
        </w:rPr>
        <w:t xml:space="preserve">  7.  Summary</w:t>
      </w:r>
    </w:p>
    <w:p>
      <w:pPr>
        <w:spacing w:after="160" w:line="288"/>
        <w:jc w:val="both"/>
      </w:pPr>
      <w:r>
        <w:rPr>
          <w:b w:val="false"/>
          <w:bCs w:val="false"/>
          <w:i w:val="false"/>
          <w:iCs w:val="false"/>
          <w:color w:val="1B1F23"/>
          <w:sz w:val="21"/>
          <w:szCs w:val="21"/>
        </w:rPr>
        <w:t xml:space="preserve">This design satisfies the MVP scope by combining a network-segmented 3-tier container topology, a security-rationalized technology stack, and a gate-enforced DevSecOps pipeline that scans code, dependencies, containers, and secrets at every commit.</w:t>
      </w:r>
    </w:p>
    <w:tbl>
      <w:tblPr>
        <w:tblW w:type="pct" w:w="100%"/>
        <w:tblBorders>
          <w:top w:val="single" w:color="4B2E83" w:sz="4"/>
          <w:left w:val="single" w:color="4B2E83" w:sz="30"/>
          <w:bottom w:val="single" w:color="4B2E83" w:sz="4"/>
          <w:right w:val="single" w:color="4B2E83" w:sz="4"/>
          <w:insideH w:val="none" w:color="FFFFFF" w:sz="0"/>
          <w:insideV w:val="none" w:color="FFFFFF" w:sz="0"/>
        </w:tblBorders>
      </w:tblPr>
      <w:tblGrid>
        <w:gridCol w:w="100"/>
      </w:tblGrid>
      <w:tr>
        <w:tc>
          <w:tcPr>
            <w:shd w:fill="EDE4F7" w:val="clear"/>
            <w:tcMar>
              <w:top w:type="dxa" w:w="160"/>
              <w:left w:type="dxa" w:w="220"/>
              <w:bottom w:type="dxa" w:w="160"/>
              <w:right w:type="dxa" w:w="220"/>
            </w:tcMar>
          </w:tcPr>
          <w:p>
            <w:pPr>
              <w:spacing w:after="60"/>
            </w:pPr>
            <w:r>
              <w:rPr>
                <w:b/>
                <w:bCs/>
                <w:color w:val="4B2E83"/>
                <w:sz w:val="20"/>
                <w:szCs w:val="20"/>
              </w:rPr>
              <w:t xml:space="preserve">CORE SECURITY INVARIANT</w:t>
            </w:r>
          </w:p>
          <w:p>
            <w:r>
              <w:rPr>
                <w:i/>
                <w:iCs/>
                <w:color w:val="1B1F23"/>
                <w:sz w:val="20"/>
                <w:szCs w:val="20"/>
              </w:rPr>
              <w:t xml:space="preserve">No static credentials exist anywhere in the system. This is enforced structurally via HashiCorp Vault's dynamic secrets engine, backed by NIST SP 800-63B–compliant authentication logic and OWASP API Security–aligned request handling at every tier boundary.</w:t>
            </w:r>
          </w:p>
        </w:tc>
      </w:tr>
    </w:tbl>
    <w:p>
      <w:pPr>
        <w:spacing w:before="500"/>
        <w:jc w:val="center"/>
      </w:pPr>
      <w:r>
        <w:rPr>
          <w:i/>
          <w:iCs/>
          <w:color w:val="3A4552"/>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3" w:sz="6"/>
      </w:pBdr>
      <w:tabs>
        <w:tab w:val="right" w:pos="9026"/>
      </w:tabs>
      <w:spacing w:before="100"/>
    </w:pPr>
    <w:r>
      <w:rPr>
        <w:i/>
        <w:iCs/>
        <w:color w:val="3A4552"/>
        <w:sz w:val="15"/>
        <w:szCs w:val="15"/>
      </w:rPr>
      <w:t xml:space="preserve">Internal — Architecture Review Draft</w:t>
    </w:r>
    <w:r>
      <w:rPr>
        <w:color w:val="3A4552"/>
        <w:sz w:val="15"/>
        <w:szCs w:val="15"/>
      </w:rPr>
      <w:t xml:space="preserve">	Page </w:t>
    </w:r>
    <w:r>
      <w:rPr>
        <w:color w:val="3A4552"/>
        <w:sz w:val="15"/>
        <w:szCs w:val="15"/>
      </w:rPr>
      <w:fldChar w:fldCharType="begin"/>
      <w:instrText xml:space="preserve">PAGE</w:instrText>
      <w:fldChar w:fldCharType="separate"/>
      <w:fldChar w:fldCharType="end"/>
    </w:r>
    <w:r>
      <w:rPr>
        <w:color w:val="3A4552"/>
        <w:sz w:val="15"/>
        <w:szCs w:val="15"/>
      </w:rPr>
      <w:t xml:space="preserve"> of </w:t>
    </w:r>
    <w:r>
      <w:rPr>
        <w:color w:val="3A455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82F" w:sz="6"/>
      </w:pBdr>
      <w:tabs>
        <w:tab w:val="right" w:pos="9026"/>
      </w:tabs>
      <w:spacing w:after="100"/>
    </w:pPr>
    <w:r>
      <w:rPr>
        <w:b/>
        <w:bCs/>
        <w:color w:val="3A4552"/>
        <w:sz w:val="15"/>
        <w:szCs w:val="15"/>
      </w:rPr>
      <w:t xml:space="preserve">DEVSECOPS PIPELINE — PASSWORD RESET PLATFORM</w:t>
    </w:r>
    <w:r>
      <w:rPr>
        <w:color w:val="3A4552"/>
        <w:sz w:val="15"/>
        <w:szCs w:val="15"/>
      </w:rPr>
      <w:t xml:space="preserve">	TASK 3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color w:val="C9982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rFonts w:ascii="Calibri" w:cs="Calibri" w:eastAsia="Calibri" w:hAnsi="Calibri"/>
      <w:b/>
      <w:bCs/>
      <w:color w:val="123C5E"/>
      <w:sz w:val="30"/>
      <w:szCs w:val="30"/>
    </w:rPr>
  </w:style>
  <w:style w:type="paragraph" w:styleId="Heading2">
    <w:name w:val="Heading 2"/>
    <w:basedOn w:val="Normal"/>
    <w:next w:val="Normal"/>
    <w:qFormat/>
    <w:pPr>
      <w:spacing w:after="120" w:before="260"/>
    </w:pPr>
    <w:rPr>
      <w:rFonts w:ascii="Calibri" w:cs="Calibri" w:eastAsia="Calibri" w:hAnsi="Calibri"/>
      <w:b/>
      <w:bCs/>
      <w:color w:val="3A45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3c1419f30e820d157207f3a843da18dcc04e2f.png"/><Relationship Id="rId10" Type="http://schemas.openxmlformats.org/officeDocument/2006/relationships/image" Target="media/0d7af1777735d306a355dc69551b3715c793ae6f.png"/><Relationship Id="rId11" Type="http://schemas.openxmlformats.org/officeDocument/2006/relationships/image" Target="media/2830ab7fe7e4baca7001a0d216606fef6be16c1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2026-08-19T18:05:21.979Z</dcterms:created>
  <dcterms:modified xsi:type="dcterms:W3CDTF">2026-08-19T18:05:21.979Z</dcterms:modified>
</cp:coreProperties>
</file>

<file path=docProps/custom.xml><?xml version="1.0" encoding="utf-8"?>
<Properties xmlns="http://schemas.openxmlformats.org/officeDocument/2006/custom-properties" xmlns:vt="http://schemas.openxmlformats.org/officeDocument/2006/docPropsVTypes"/>
</file>