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🏥 Med-Sec Audit Agent Report</w:t>
      </w:r>
    </w:p>
    <w:p>
      <w:r>
        <w:t>Audit ID: MEDSEC-20260703-abf51e</w:t>
      </w:r>
    </w:p>
    <w:p>
      <w:r>
        <w:t>Date: 2026-07-03T02:22:38.328911</w:t>
      </w:r>
    </w:p>
    <w:p>
      <w:r>
        <w:t>Duration: 0.0 seconds</w:t>
      </w:r>
    </w:p>
    <w:p/>
    <w:p>
      <w:pPr>
        <w:pStyle w:val="Heading1"/>
      </w:pPr>
      <w:r>
        <w:t>Executive Summary</w:t>
      </w:r>
    </w:p>
    <w:p>
      <w:r>
        <w:t>CRITICAL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Overall Risk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Threats Detected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HIPAA Score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Fixes Applied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• Implement stricter input validation</w:t>
      </w:r>
    </w:p>
    <w:p>
      <w:pPr>
        <w:pStyle w:val="ListBullet"/>
      </w:pPr>
      <w:r>
        <w:t>• Enforce least privilege access</w:t>
      </w:r>
    </w:p>
    <w:p>
      <w:pPr>
        <w:pStyle w:val="ListBullet"/>
      </w:pPr>
      <w:r>
        <w:t>• Enable MFA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