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LMS 2.0 Mobile App</w:t>
      </w:r>
    </w:p>
    <w:p>
      <w:pPr>
        <w:pStyle w:val="Heading2"/>
        <w:spacing w:after="300"/>
      </w:pPr>
      <w:r>
        <w:t xml:space="preserve">Engineering &amp; Operations Runbook</w:t>
      </w:r>
    </w:p>
    <w:p>
      <w:pPr>
        <w:spacing w:after="120"/>
      </w:pPr>
      <w:r>
        <w:rPr>
          <w:i/>
          <w:iCs/>
        </w:rPr>
        <w:t xml:space="preserve">This document covers the mobile app’s tech stack, how to run and configure it for development, how to build and install it on Android and iOS, how to host the whole stack in production, ongoing maintenance, cost, and private distribution — written for engineers and operators who will actually perform these tasks.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Mobile App Tech Stack</w:t>
      </w:r>
    </w:p>
    <w:p>
      <w:pPr>
        <w:spacing w:after="120"/>
      </w:pPr>
      <w:r>
        <w:t xml:space="preserve">The mobile app is a React Native app built with Expo (managed workflow), written in TypeScript, using Expo Router for file-based navigation. It talks to the exact same backend that serves the web app — there is only one backend, one database, one set of business rules.</w:t>
      </w:r>
    </w:p>
    <w:p>
      <w:pPr>
        <w:pStyle w:val="Heading2"/>
        <w:spacing w:after="120" w:before="280"/>
      </w:pPr>
      <w:r>
        <w:t xml:space="preserve">Core framework</w:t>
      </w:r>
    </w:p>
    <w:p>
      <w:pPr>
        <w:pStyle w:val="ListParagraph"/>
        <w:numPr>
          <w:ilvl w:val="0"/>
          <w:numId w:val="2"/>
        </w:numPr>
        <w:spacing w:after="80"/>
      </w:pPr>
      <w:r>
        <w:t xml:space="preserve">React Native (Expo SDK 57), TypeScript</w:t>
      </w:r>
    </w:p>
    <w:p>
      <w:pPr>
        <w:pStyle w:val="ListParagraph"/>
        <w:numPr>
          <w:ilvl w:val="0"/>
          <w:numId w:val="2"/>
        </w:numPr>
        <w:spacing w:after="80"/>
      </w:pPr>
      <w:r>
        <w:t xml:space="preserve">Expo Router — file-based routing; Stack navigators for drill-down screens, Tabs for the bottom navigation bar</w:t>
      </w:r>
    </w:p>
    <w:p>
      <w:pPr>
        <w:pStyle w:val="ListParagraph"/>
        <w:numPr>
          <w:ilvl w:val="0"/>
          <w:numId w:val="2"/>
        </w:numPr>
        <w:spacing w:after="80"/>
      </w:pPr>
      <w:r>
        <w:t xml:space="preserve">No custom native code — pure Expo managed workflow, so it can be edited and previewed without Xcode/Android Studio for most changes</w:t>
      </w:r>
    </w:p>
    <w:p>
      <w:pPr>
        <w:pStyle w:val="Heading2"/>
        <w:spacing w:after="120" w:before="280"/>
      </w:pPr>
      <w:r>
        <w:t xml:space="preserve">Key libraries</w:t>
      </w:r>
    </w:p>
    <w:p>
      <w:pPr>
        <w:pStyle w:val="ListParagraph"/>
        <w:numPr>
          <w:ilvl w:val="0"/>
          <w:numId w:val="2"/>
        </w:numPr>
        <w:spacing w:after="80"/>
      </w:pPr>
      <w:r>
        <w:t xml:space="preserve">expo-auth-session — Microsoft Entra ID login via PKCE (OAuth without a client secret on the device)</w:t>
      </w:r>
    </w:p>
    <w:p>
      <w:pPr>
        <w:pStyle w:val="ListParagraph"/>
        <w:numPr>
          <w:ilvl w:val="0"/>
          <w:numId w:val="2"/>
        </w:numPr>
        <w:spacing w:after="80"/>
      </w:pPr>
      <w:r>
        <w:t xml:space="preserve">expo-secure-store — encrypted on-device storage for the session token (falls back to browser localStorage when running as a web preview, since SecureStore has no web backing)</w:t>
      </w:r>
    </w:p>
    <w:p>
      <w:pPr>
        <w:pStyle w:val="ListParagraph"/>
        <w:numPr>
          <w:ilvl w:val="0"/>
          <w:numId w:val="2"/>
        </w:numPr>
        <w:spacing w:after="80"/>
      </w:pPr>
      <w:r>
        <w:t xml:space="preserve">expo-web-browser — opens the Microsoft sign-in page and returns control to the app</w:t>
      </w:r>
    </w:p>
    <w:p>
      <w:pPr>
        <w:pStyle w:val="ListParagraph"/>
        <w:numPr>
          <w:ilvl w:val="0"/>
          <w:numId w:val="2"/>
        </w:numPr>
        <w:spacing w:after="80"/>
      </w:pPr>
      <w:r>
        <w:t xml:space="preserve">expo-image-picker / expo-document-picker — profile photo and leave-request attachment selection</w:t>
      </w:r>
    </w:p>
    <w:p>
      <w:pPr>
        <w:pStyle w:val="ListParagraph"/>
        <w:numPr>
          <w:ilvl w:val="0"/>
          <w:numId w:val="2"/>
        </w:numPr>
        <w:spacing w:after="80"/>
      </w:pPr>
      <w:r>
        <w:t xml:space="preserve">expo-file-system / expo-sharing — downloading and sharing attachments</w:t>
      </w:r>
    </w:p>
    <w:p>
      <w:pPr>
        <w:pStyle w:val="ListParagraph"/>
        <w:numPr>
          <w:ilvl w:val="0"/>
          <w:numId w:val="2"/>
        </w:numPr>
        <w:spacing w:after="80"/>
      </w:pPr>
      <w:r>
        <w:t xml:space="preserve">@react-native-community/datetimepicker — native date pickers (falls back to a plain HTML date input on the web preview)</w:t>
      </w:r>
    </w:p>
    <w:p>
      <w:pPr>
        <w:pStyle w:val="ListParagraph"/>
        <w:numPr>
          <w:ilvl w:val="0"/>
          <w:numId w:val="2"/>
        </w:numPr>
        <w:spacing w:after="80"/>
      </w:pPr>
      <w:r>
        <w:t xml:space="preserve">@react-native-async-storage/async-storage — non-sensitive local preferences (e.g. light/dark theme choice)</w:t>
      </w:r>
    </w:p>
    <w:p>
      <w:pPr>
        <w:pStyle w:val="Heading2"/>
        <w:spacing w:after="120" w:before="280"/>
      </w:pPr>
      <w:r>
        <w:t xml:space="preserve">Backend &amp; auth</w:t>
      </w:r>
    </w:p>
    <w:p>
      <w:pPr>
        <w:pStyle w:val="ListParagraph"/>
        <w:numPr>
          <w:ilvl w:val="0"/>
          <w:numId w:val="2"/>
        </w:numPr>
        <w:spacing w:after="80"/>
      </w:pPr>
      <w:r>
        <w:t xml:space="preserve">Backend: backend-py (Python/FastAPI), the same service the web app uses — see Section 8 for hosting</w:t>
      </w:r>
    </w:p>
    <w:p>
      <w:pPr>
        <w:pStyle w:val="ListParagraph"/>
        <w:numPr>
          <w:ilvl w:val="0"/>
          <w:numId w:val="2"/>
        </w:numPr>
        <w:spacing w:after="80"/>
      </w:pPr>
      <w:r>
        <w:t xml:space="preserve">Web sessions use an HTTP-only cookie; the mobile app uses a bearer token in the Authorization header — both are issued by the same underlying sign-in code, so the same login always resolves to the same employee record and data</w:t>
      </w:r>
    </w:p>
    <w:p>
      <w:pPr>
        <w:pStyle w:val="Heading1"/>
        <w:spacing w:after="200" w:before="400"/>
      </w:pPr>
      <w:r>
        <w:t xml:space="preserve">2. Running the Mobile App in Development</w:t>
      </w:r>
    </w:p>
    <w:p>
      <w:pPr>
        <w:pStyle w:val="Heading2"/>
        <w:spacing w:after="120" w:before="280"/>
      </w:pPr>
      <w:r>
        <w:t xml:space="preserve">Prerequisites</w:t>
      </w:r>
    </w:p>
    <w:p>
      <w:pPr>
        <w:pStyle w:val="ListParagraph"/>
        <w:numPr>
          <w:ilvl w:val="0"/>
          <w:numId w:val="2"/>
        </w:numPr>
        <w:spacing w:after="80"/>
      </w:pPr>
      <w:r>
        <w:t xml:space="preserve">Node.js and npm installed</w:t>
      </w:r>
    </w:p>
    <w:p>
      <w:pPr>
        <w:pStyle w:val="ListParagraph"/>
        <w:numPr>
          <w:ilvl w:val="0"/>
          <w:numId w:val="2"/>
        </w:numPr>
        <w:spacing w:after="80"/>
      </w:pPr>
      <w:r>
        <w:t xml:space="preserve">Python virtual environment for backend-py already set up (see backend-py/README.md)</w:t>
      </w:r>
    </w:p>
    <w:p>
      <w:pPr>
        <w:pStyle w:val="ListParagraph"/>
        <w:numPr>
          <w:ilvl w:val="0"/>
          <w:numId w:val="2"/>
        </w:numPr>
        <w:spacing w:after="80"/>
      </w:pPr>
      <w:r>
        <w:t xml:space="preserve">A phone with the free "Expo Go" app installed (for physical-device testing), and/or Android Studio / Xcode for emulators</w:t>
      </w:r>
    </w:p>
    <w:p>
      <w:pPr>
        <w:pStyle w:val="Heading2"/>
        <w:spacing w:after="120" w:before="280"/>
      </w:pPr>
      <w:r>
        <w:t xml:space="preserve">Steps</w:t>
      </w:r>
    </w:p>
    <w:p>
      <w:pPr>
        <w:spacing w:after="120"/>
      </w:pPr>
      <w:r>
        <w:t xml:space="preserve">1. Start the backend (from the backend-py folder):</w:t>
      </w:r>
    </w:p>
    <w:p>
      <w:pPr>
        <w:shd w:fill="F0F0F0" w:val="clear"/>
        <w:spacing w:after="120" w:before="60"/>
        <w:ind w:left="120" w:right="120"/>
      </w:pPr>
      <w:r>
        <w:rPr>
          <w:rFonts w:ascii="Consolas" w:cs="Consolas" w:eastAsia="Consolas" w:hAnsi="Consolas"/>
          <w:sz w:val="19"/>
          <w:szCs w:val="19"/>
        </w:rPr>
        <w:t xml:space="preserve">.venv/Scripts/python.exe -m uvicorn app.main:app --host 0.0.0.0 --port 8000</w:t>
      </w:r>
    </w:p>
    <w:p>
      <w:pPr>
        <w:spacing w:after="120"/>
      </w:pPr>
      <w:r>
        <w:t xml:space="preserve">2. Configure the mobile app’s environment — copy mobile/.env.example to mobile/.env and set the API address. Use the machine’s LAN IP address, not "localhost", so a physical phone on the same Wi-Fi can reach it:</w:t>
      </w:r>
    </w:p>
    <w:p>
      <w:pPr>
        <w:shd w:fill="F0F0F0" w:val="clear"/>
        <w:spacing w:after="120" w:before="60"/>
        <w:ind w:left="120" w:right="120"/>
      </w:pPr>
      <w:r>
        <w:rPr>
          <w:rFonts w:ascii="Consolas" w:cs="Consolas" w:eastAsia="Consolas" w:hAnsi="Consolas"/>
          <w:sz w:val="19"/>
          <w:szCs w:val="19"/>
        </w:rPr>
        <w:t xml:space="preserve">EXPO_PUBLIC_API_BASE_URL=http://&lt;your-machine-LAN-IP&gt;:8000</w:t>
      </w:r>
    </w:p>
    <w:p>
      <w:pPr>
        <w:shd w:fill="FFF7E0" w:val="clear"/>
        <w:spacing w:after="160" w:before="60"/>
        <w:ind w:left="120"/>
      </w:pPr>
      <w:r>
        <w:rPr>
          <w:b/>
          <w:bCs/>
        </w:rPr>
        <w:t xml:space="preserve">Note: </w:t>
      </w:r>
      <w:r>
        <w:t xml:space="preserve">If the development machine’s Wi-Fi IP changes (new network, DHCP renewal), this value must be updated and the Expo dev server restarted, or the app will fail to connect.</w:t>
      </w:r>
    </w:p>
    <w:p>
      <w:pPr>
        <w:spacing w:after="120"/>
      </w:pPr>
      <w:r>
        <w:t xml:space="preserve">3. Install dependencies and start the app (from the mobile folder):</w:t>
      </w:r>
    </w:p>
    <w:p>
      <w:pPr>
        <w:shd w:fill="F0F0F0" w:val="clear"/>
        <w:spacing w:after="120" w:before="60"/>
        <w:ind w:left="120" w:right="120"/>
      </w:pPr>
      <w:r>
        <w:rPr>
          <w:rFonts w:ascii="Consolas" w:cs="Consolas" w:eastAsia="Consolas" w:hAnsi="Consolas"/>
          <w:sz w:val="19"/>
          <w:szCs w:val="19"/>
        </w:rPr>
        <w:t xml:space="preserve">npm install</w:t>
      </w:r>
      <w:r>
        <w:rPr>
          <w:rFonts w:ascii="Consolas" w:cs="Consolas" w:eastAsia="Consolas" w:hAnsi="Consolas"/>
          <w:sz w:val="19"/>
          <w:szCs w:val="19"/>
        </w:rPr>
        <w:br/>
        <w:t xml:space="preserve">npm run web       # quickest way to preview in a browser</w:t>
      </w:r>
      <w:r>
        <w:rPr>
          <w:rFonts w:ascii="Consolas" w:cs="Consolas" w:eastAsia="Consolas" w:hAnsi="Consolas"/>
          <w:sz w:val="19"/>
          <w:szCs w:val="19"/>
        </w:rPr>
        <w:br/>
        <w:t xml:space="preserve">npm run start     # prints a QR code — scan with the Expo Go app</w:t>
      </w:r>
      <w:r>
        <w:rPr>
          <w:rFonts w:ascii="Consolas" w:cs="Consolas" w:eastAsia="Consolas" w:hAnsi="Consolas"/>
          <w:sz w:val="19"/>
          <w:szCs w:val="19"/>
        </w:rPr>
        <w:br/>
        <w:t xml:space="preserve">npm run android   # requires an Android emulator</w:t>
      </w:r>
      <w:r>
        <w:rPr>
          <w:rFonts w:ascii="Consolas" w:cs="Consolas" w:eastAsia="Consolas" w:hAnsi="Consolas"/>
          <w:sz w:val="19"/>
          <w:szCs w:val="19"/>
        </w:rPr>
        <w:br/>
        <w:t xml:space="preserve">npm run ios       # requires a Mac + Xcode simulator</w:t>
      </w:r>
    </w:p>
    <w:p>
      <w:pPr>
        <w:spacing w:after="120"/>
      </w:pPr>
      <w:r>
        <w:t xml:space="preserve">4. Sign in using either the "Dev sign-in" button (see Section 3) or "Sign in with Microsoft" (see Section 5, once configured).</w:t>
      </w:r>
    </w:p>
    <w:p>
      <w:pPr>
        <w:pStyle w:val="Heading1"/>
        <w:spacing w:after="200" w:before="400"/>
      </w:pPr>
      <w:r>
        <w:t xml:space="preserve">3. Switching the Dev-Bypass Test User</w:t>
      </w:r>
    </w:p>
    <w:p>
      <w:pPr>
        <w:spacing w:after="120"/>
      </w:pPr>
      <w:r>
        <w:t xml:space="preserve">While dev auth bypass is enabled, every "login" — on web or mobile — signs in as one fixed employee, configured server-side. This lets you test the app without a real Microsoft account.</w:t>
      </w:r>
    </w:p>
    <w:p>
      <w:pPr>
        <w:pStyle w:val="Heading2"/>
        <w:spacing w:after="120" w:before="280"/>
      </w:pPr>
      <w:r>
        <w:t xml:space="preserve">How to switch</w:t>
      </w:r>
    </w:p>
    <w:p>
      <w:pPr>
        <w:spacing w:after="120"/>
      </w:pPr>
      <w:r>
        <w:t xml:space="preserve">Edit backend-py/.env:</w:t>
      </w:r>
    </w:p>
    <w:p>
      <w:pPr>
        <w:shd w:fill="F0F0F0" w:val="clear"/>
        <w:spacing w:after="120" w:before="60"/>
        <w:ind w:left="120" w:right="120"/>
      </w:pPr>
      <w:r>
        <w:rPr>
          <w:rFonts w:ascii="Consolas" w:cs="Consolas" w:eastAsia="Consolas" w:hAnsi="Consolas"/>
          <w:sz w:val="19"/>
          <w:szCs w:val="19"/>
        </w:rPr>
        <w:t xml:space="preserve">DEV_AUTH_BYPASS_EMPLOYEE_CODE=EMP001</w:t>
      </w:r>
    </w:p>
    <w:p>
      <w:pPr>
        <w:spacing w:after="120"/>
      </w:pPr>
      <w:r>
        <w:t xml:space="preserve">Available seeded test accounts:</w:t>
      </w:r>
    </w:p>
    <w:p>
      <w:pPr>
        <w:pStyle w:val="ListParagraph"/>
        <w:numPr>
          <w:ilvl w:val="0"/>
          <w:numId w:val="2"/>
        </w:numPr>
        <w:spacing w:after="80"/>
      </w:pPr>
      <w:r>
        <w:t xml:space="preserve">EMP001 — Manager role</w:t>
      </w:r>
    </w:p>
    <w:p>
      <w:pPr>
        <w:pStyle w:val="ListParagraph"/>
        <w:numPr>
          <w:ilvl w:val="0"/>
          <w:numId w:val="2"/>
        </w:numPr>
        <w:spacing w:after="80"/>
      </w:pPr>
      <w:r>
        <w:t xml:space="preserve">EMP002 — Employee role (reports to EMP001)</w:t>
      </w:r>
    </w:p>
    <w:p>
      <w:pPr>
        <w:pStyle w:val="ListParagraph"/>
        <w:numPr>
          <w:ilvl w:val="0"/>
          <w:numId w:val="2"/>
        </w:numPr>
        <w:spacing w:after="80"/>
      </w:pPr>
      <w:r>
        <w:t xml:space="preserve">TESTHR — HR_ADMIN role</w:t>
      </w:r>
    </w:p>
    <w:p>
      <w:pPr>
        <w:spacing w:after="120"/>
      </w:pPr>
      <w:r>
        <w:t xml:space="preserve">Then restart the backend process — this value is read once when the server starts, so a running server will not pick up the change on its own:</w:t>
      </w:r>
    </w:p>
    <w:p>
      <w:pPr>
        <w:shd w:fill="F0F0F0" w:val="clear"/>
        <w:spacing w:after="120" w:before="60"/>
        <w:ind w:left="120" w:right="120"/>
      </w:pPr>
      <w:r>
        <w:rPr>
          <w:rFonts w:ascii="Consolas" w:cs="Consolas" w:eastAsia="Consolas" w:hAnsi="Consolas"/>
          <w:sz w:val="19"/>
          <w:szCs w:val="19"/>
        </w:rPr>
        <w:t xml:space="preserve"># stop the running process, then:</w:t>
      </w:r>
      <w:r>
        <w:rPr>
          <w:rFonts w:ascii="Consolas" w:cs="Consolas" w:eastAsia="Consolas" w:hAnsi="Consolas"/>
          <w:sz w:val="19"/>
          <w:szCs w:val="19"/>
        </w:rPr>
        <w:br/>
        <w:t xml:space="preserve">.venv/Scripts/python.exe -m uvicorn app.main:app --host 0.0.0.0 --port 8000</w:t>
      </w:r>
    </w:p>
    <w:p>
      <w:pPr>
        <w:shd w:fill="FFF7E0" w:val="clear"/>
        <w:spacing w:after="160" w:before="60"/>
        <w:ind w:left="120"/>
      </w:pPr>
      <w:r>
        <w:rPr>
          <w:b/>
          <w:bCs/>
        </w:rPr>
        <w:t xml:space="preserve">Note: </w:t>
      </w:r>
      <w:r>
        <w:t xml:space="preserve">On Windows, confirm the old process has actually exited before starting a new one (check with "netstat -ano | findstr :8000"). A half-killed process can keep answering requests with the old configuration, which looks exactly like the change "not working."</w:t>
      </w:r>
    </w:p>
    <w:p>
      <w:pPr>
        <w:pStyle w:val="Heading1"/>
        <w:spacing w:after="200" w:before="400"/>
      </w:pPr>
      <w:r>
        <w:t xml:space="preserve">4. Disabling Dev Auth Bypass</w:t>
      </w:r>
    </w:p>
    <w:p>
      <w:pPr>
        <w:spacing w:after="120"/>
      </w:pPr>
      <w:r>
        <w:t xml:space="preserve">In backend-py/.env:</w:t>
      </w:r>
    </w:p>
    <w:p>
      <w:pPr>
        <w:shd w:fill="F0F0F0" w:val="clear"/>
        <w:spacing w:after="120" w:before="60"/>
        <w:ind w:left="120" w:right="120"/>
      </w:pPr>
      <w:r>
        <w:rPr>
          <w:rFonts w:ascii="Consolas" w:cs="Consolas" w:eastAsia="Consolas" w:hAnsi="Consolas"/>
          <w:sz w:val="19"/>
          <w:szCs w:val="19"/>
        </w:rPr>
        <w:t xml:space="preserve">DEV_AUTH_BYPASS_ENABLED=false</w:t>
      </w:r>
    </w:p>
    <w:p>
      <w:pPr>
        <w:spacing w:after="120"/>
      </w:pPr>
      <w:r>
        <w:t xml:space="preserve">Restart the backend process as in Section 3. In mobile/.env, also set the client-side flag — this only controls whether the "Dev sign-in" button is shown; the real enforcement is always server-side:</w:t>
      </w:r>
    </w:p>
    <w:p>
      <w:pPr>
        <w:shd w:fill="F0F0F0" w:val="clear"/>
        <w:spacing w:after="120" w:before="60"/>
        <w:ind w:left="120" w:right="120"/>
      </w:pPr>
      <w:r>
        <w:rPr>
          <w:rFonts w:ascii="Consolas" w:cs="Consolas" w:eastAsia="Consolas" w:hAnsi="Consolas"/>
          <w:sz w:val="19"/>
          <w:szCs w:val="19"/>
        </w:rPr>
        <w:t xml:space="preserve">EXPO_PUBLIC_DEV_AUTH_BYPASS_ENABLED=false</w:t>
      </w:r>
    </w:p>
    <w:p>
      <w:pPr>
        <w:shd w:fill="FFF7E0" w:val="clear"/>
        <w:spacing w:after="160" w:before="60"/>
        <w:ind w:left="120"/>
      </w:pPr>
      <w:r>
        <w:rPr>
          <w:b/>
          <w:bCs/>
        </w:rPr>
        <w:t xml:space="preserve">Note: </w:t>
      </w:r>
      <w:r>
        <w:t xml:space="preserve">Do not disable bypass in an environment people need to use until Microsoft Entra ID login (Section 5) is fully configured and working — otherwise no one will be able to sign in at all.</w:t>
      </w:r>
    </w:p>
    <w:p>
      <w:pPr>
        <w:pStyle w:val="Heading1"/>
        <w:spacing w:after="200" w:before="400"/>
      </w:pPr>
      <w:r>
        <w:t xml:space="preserve">5. Enabling Real Microsoft Entra ID Login</w:t>
      </w:r>
    </w:p>
    <w:p>
      <w:pPr>
        <w:pStyle w:val="Heading2"/>
        <w:spacing w:after="120" w:before="280"/>
      </w:pPr>
      <w:r>
        <w:t xml:space="preserve">Web app</w:t>
      </w:r>
    </w:p>
    <w:p>
      <w:pPr>
        <w:spacing w:after="120"/>
      </w:pPr>
      <w:r>
        <w:t xml:space="preserve">The web app’s Entra credentials already live in backend-py/.env (ENTRA_TENANT_ID, ENTRA_CLIENT_ID, ENTRA_CLIENT_SECRET, ENTRA_REDIRECT_URI). The one remaining step is registering the exact callback address in Azure:</w:t>
      </w:r>
    </w:p>
    <w:p>
      <w:pPr>
        <w:pStyle w:val="ListParagraph"/>
        <w:numPr>
          <w:ilvl w:val="0"/>
          <w:numId w:val="2"/>
        </w:numPr>
        <w:spacing w:after="80"/>
      </w:pPr>
      <w:r>
        <w:t xml:space="preserve">Azure Portal → App registrations → (this app) → Authentication → Add a Redirect URI</w:t>
      </w:r>
    </w:p>
    <w:p>
      <w:pPr>
        <w:pStyle w:val="ListParagraph"/>
        <w:numPr>
          <w:ilvl w:val="0"/>
          <w:numId w:val="2"/>
        </w:numPr>
        <w:spacing w:after="80"/>
      </w:pPr>
      <w:r>
        <w:t xml:space="preserve">Development: http://localhost:8000/api/auth/callback</w:t>
      </w:r>
    </w:p>
    <w:p>
      <w:pPr>
        <w:pStyle w:val="ListParagraph"/>
        <w:numPr>
          <w:ilvl w:val="0"/>
          <w:numId w:val="2"/>
        </w:numPr>
        <w:spacing w:after="80"/>
      </w:pPr>
      <w:r>
        <w:t xml:space="preserve">Production: https://&lt;your-domain&gt;/api/auth/callback</w:t>
      </w:r>
    </w:p>
    <w:p>
      <w:pPr>
        <w:shd w:fill="FFF7E0" w:val="clear"/>
        <w:spacing w:after="160" w:before="60"/>
        <w:ind w:left="120"/>
      </w:pPr>
      <w:r>
        <w:rPr>
          <w:b/>
          <w:bCs/>
        </w:rPr>
        <w:t xml:space="preserve">Note: </w:t>
      </w:r>
      <w:r>
        <w:t xml:space="preserve">A person can only sign in with Entra if their work email already exists as an Employee record in the database (onboarded via the Employees admin screen). There is no automatic account creation on first login.</w:t>
      </w:r>
    </w:p>
    <w:p>
      <w:pPr>
        <w:pStyle w:val="Heading2"/>
        <w:spacing w:after="120" w:before="280"/>
      </w:pPr>
      <w:r>
        <w:t xml:space="preserve">Mobile app</w:t>
      </w:r>
    </w:p>
    <w:p>
      <w:pPr>
        <w:spacing w:after="120"/>
      </w:pPr>
      <w:r>
        <w:t xml:space="preserve">Mobile needs its own, separate Azure App Registration — a "public client / mobile &amp; desktop" type, which has no client secret (the phone can never hold one securely).</w:t>
      </w:r>
    </w:p>
    <w:p>
      <w:pPr>
        <w:pStyle w:val="ListParagraph"/>
        <w:numPr>
          <w:ilvl w:val="0"/>
          <w:numId w:val="2"/>
        </w:numPr>
        <w:spacing w:after="80"/>
      </w:pPr>
      <w:r>
        <w:t xml:space="preserve">Create the second App Registration in Azure Portal, platform type "Mobile and desktop applications"</w:t>
      </w:r>
    </w:p>
    <w:p>
      <w:pPr>
        <w:pStyle w:val="ListParagraph"/>
        <w:numPr>
          <w:ilvl w:val="0"/>
          <w:numId w:val="2"/>
        </w:numPr>
        <w:spacing w:after="80"/>
      </w:pPr>
      <w:r>
        <w:t xml:space="preserve">Set its redirect URI to a custom scheme, e.g. lms://auth (must match mobile/app.json’s "scheme" and mobile/.env’s EXPO_PUBLIC_MOBILE_REDIRECT_URI exactly)</w:t>
      </w:r>
    </w:p>
    <w:p>
      <w:pPr>
        <w:spacing w:after="120"/>
      </w:pPr>
      <w:r>
        <w:t xml:space="preserve">Then set, in backend-py/.env:</w:t>
      </w:r>
    </w:p>
    <w:p>
      <w:pPr>
        <w:shd w:fill="F0F0F0" w:val="clear"/>
        <w:spacing w:after="120" w:before="60"/>
        <w:ind w:left="120" w:right="120"/>
      </w:pPr>
      <w:r>
        <w:rPr>
          <w:rFonts w:ascii="Consolas" w:cs="Consolas" w:eastAsia="Consolas" w:hAnsi="Consolas"/>
          <w:sz w:val="19"/>
          <w:szCs w:val="19"/>
        </w:rPr>
        <w:t xml:space="preserve">ENTRA_MOBILE_CLIENT_ID=&lt;the mobile app registration’s client id&gt;</w:t>
      </w:r>
      <w:r>
        <w:rPr>
          <w:rFonts w:ascii="Consolas" w:cs="Consolas" w:eastAsia="Consolas" w:hAnsi="Consolas"/>
          <w:sz w:val="19"/>
          <w:szCs w:val="19"/>
        </w:rPr>
        <w:br/>
        <w:t xml:space="preserve">ENTRA_MOBILE_REDIRECT_URI=lms://auth</w:t>
      </w:r>
    </w:p>
    <w:p>
      <w:pPr>
        <w:spacing w:after="120"/>
      </w:pPr>
      <w:r>
        <w:t xml:space="preserve">And in mobile/.env:</w:t>
      </w:r>
    </w:p>
    <w:p>
      <w:pPr>
        <w:shd w:fill="F0F0F0" w:val="clear"/>
        <w:spacing w:after="120" w:before="60"/>
        <w:ind w:left="120" w:right="120"/>
      </w:pPr>
      <w:r>
        <w:rPr>
          <w:rFonts w:ascii="Consolas" w:cs="Consolas" w:eastAsia="Consolas" w:hAnsi="Consolas"/>
          <w:sz w:val="19"/>
          <w:szCs w:val="19"/>
        </w:rPr>
        <w:t xml:space="preserve">EXPO_PUBLIC_ENTRA_TENANT_ID=&lt;tenant id&gt;</w:t>
      </w:r>
      <w:r>
        <w:rPr>
          <w:rFonts w:ascii="Consolas" w:cs="Consolas" w:eastAsia="Consolas" w:hAnsi="Consolas"/>
          <w:sz w:val="19"/>
          <w:szCs w:val="19"/>
        </w:rPr>
        <w:br/>
        <w:t xml:space="preserve">EXPO_PUBLIC_ENTRA_MOBILE_CLIENT_ID=&lt;mobile client id&gt;</w:t>
      </w:r>
      <w:r>
        <w:rPr>
          <w:rFonts w:ascii="Consolas" w:cs="Consolas" w:eastAsia="Consolas" w:hAnsi="Consolas"/>
          <w:sz w:val="19"/>
          <w:szCs w:val="19"/>
        </w:rPr>
        <w:br/>
        <w:t xml:space="preserve">EXPO_PUBLIC_MOBILE_REDIRECT_URI=lms://auth</w:t>
      </w:r>
    </w:p>
    <w:p>
      <w:pPr>
        <w:spacing w:after="120"/>
      </w:pPr>
      <w:r>
        <w:t xml:space="preserve">How it works: the phone performs the Microsoft sign-in and PKCE challenge itself, then sends the resulting code to the backend, which performs the actual token exchange server-side — the same pattern used by the web app, just without a client secret on the device.</w:t>
      </w:r>
    </w:p>
    <w:p>
      <w:pPr>
        <w:shd w:fill="FFF7E0" w:val="clear"/>
        <w:spacing w:after="160" w:before="60"/>
        <w:ind w:left="120"/>
      </w:pPr>
      <w:r>
        <w:rPr>
          <w:b/>
          <w:bCs/>
        </w:rPr>
        <w:t xml:space="preserve">Note: </w:t>
      </w:r>
      <w:r>
        <w:t xml:space="preserve">Testing the real redirect-scheme flow requires a custom "development build" (see Section 6/7) — Expo Go cannot reliably host a custom URL scheme like lms://auth.</w:t>
      </w:r>
    </w:p>
    <w:p>
      <w:pPr>
        <w:pStyle w:val="Heading1"/>
        <w:spacing w:after="200" w:before="400"/>
      </w:pPr>
      <w:r>
        <w:t xml:space="preserve">6. Building &amp; Installing on Android</w:t>
      </w:r>
    </w:p>
    <w:p>
      <w:pPr>
        <w:pStyle w:val="Heading2"/>
        <w:spacing w:after="120" w:before="280"/>
      </w:pPr>
      <w:r>
        <w:t xml:space="preserve">Development testing</w:t>
      </w:r>
    </w:p>
    <w:p>
      <w:pPr>
        <w:pStyle w:val="ListParagraph"/>
        <w:numPr>
          <w:ilvl w:val="0"/>
          <w:numId w:val="2"/>
        </w:numPr>
        <w:spacing w:after="80"/>
      </w:pPr>
      <w:r>
        <w:t xml:space="preserve">Simplest: open the app in the Expo Go app (scan the QR code from "npm run start") — no build step needed</w:t>
      </w:r>
    </w:p>
    <w:p>
      <w:pPr>
        <w:pStyle w:val="ListParagraph"/>
        <w:numPr>
          <w:ilvl w:val="0"/>
          <w:numId w:val="2"/>
        </w:numPr>
        <w:spacing w:after="80"/>
      </w:pPr>
      <w:r>
        <w:t xml:space="preserve">If a feature needs a native module Expo Go doesn’t include, build a custom "development client" instead: npx expo run:android (requires Android Studio)</w:t>
      </w:r>
    </w:p>
    <w:p>
      <w:pPr>
        <w:pStyle w:val="Heading2"/>
        <w:spacing w:after="120" w:before="280"/>
      </w:pPr>
      <w:r>
        <w:t xml:space="preserve">Producing an installable build</w:t>
      </w:r>
    </w:p>
    <w:p>
      <w:pPr>
        <w:spacing w:after="120"/>
      </w:pPr>
      <w:r>
        <w:t xml:space="preserve">Install the Expo Application Services CLI once, then build:</w:t>
      </w:r>
    </w:p>
    <w:p>
      <w:pPr>
        <w:shd w:fill="F0F0F0" w:val="clear"/>
        <w:spacing w:after="120" w:before="60"/>
        <w:ind w:left="120" w:right="120"/>
      </w:pPr>
      <w:r>
        <w:rPr>
          <w:rFonts w:ascii="Consolas" w:cs="Consolas" w:eastAsia="Consolas" w:hAnsi="Consolas"/>
          <w:sz w:val="19"/>
          <w:szCs w:val="19"/>
        </w:rPr>
        <w:t xml:space="preserve">npm install -g eas-cli</w:t>
      </w:r>
      <w:r>
        <w:rPr>
          <w:rFonts w:ascii="Consolas" w:cs="Consolas" w:eastAsia="Consolas" w:hAnsi="Consolas"/>
          <w:sz w:val="19"/>
          <w:szCs w:val="19"/>
        </w:rPr>
        <w:br/>
        <w:t xml:space="preserve">eas login</w:t>
      </w:r>
      <w:r>
        <w:rPr>
          <w:rFonts w:ascii="Consolas" w:cs="Consolas" w:eastAsia="Consolas" w:hAnsi="Consolas"/>
          <w:sz w:val="19"/>
          <w:szCs w:val="19"/>
        </w:rPr>
        <w:br/>
        <w:t xml:space="preserve">eas build:configure</w:t>
      </w:r>
      <w:r>
        <w:rPr>
          <w:rFonts w:ascii="Consolas" w:cs="Consolas" w:eastAsia="Consolas" w:hAnsi="Consolas"/>
          <w:sz w:val="19"/>
          <w:szCs w:val="19"/>
        </w:rPr>
        <w:br/>
        <w:t xml:space="preserve">eas build --platform android --profile preview   # produces a directly-installable .apk</w:t>
      </w:r>
      <w:r>
        <w:rPr>
          <w:rFonts w:ascii="Consolas" w:cs="Consolas" w:eastAsia="Consolas" w:hAnsi="Consolas"/>
          <w:sz w:val="19"/>
          <w:szCs w:val="19"/>
        </w:rPr>
        <w:br/>
        <w:t xml:space="preserve">eas build --platform android --profile production # produces a .aab for the Play Store</w:t>
      </w:r>
    </w:p>
    <w:p>
      <w:pPr>
        <w:pStyle w:val="Heading2"/>
        <w:spacing w:after="120" w:before="280"/>
      </w:pPr>
      <w:r>
        <w:t xml:space="preserve">Installing</w:t>
      </w:r>
    </w:p>
    <w:p>
      <w:pPr>
        <w:pStyle w:val="ListParagraph"/>
        <w:numPr>
          <w:ilvl w:val="0"/>
          <w:numId w:val="2"/>
        </w:numPr>
        <w:spacing w:after="80"/>
      </w:pPr>
      <w:r>
        <w:t xml:space="preserve">Direct install (sideloading): download the .apk to the phone, enable "Install unknown apps" for the source once, tap the file to install — works for any Android phone, no store account needed</w:t>
      </w:r>
    </w:p>
    <w:p>
      <w:pPr>
        <w:pStyle w:val="ListParagraph"/>
        <w:numPr>
          <w:ilvl w:val="0"/>
          <w:numId w:val="2"/>
        </w:numPr>
        <w:spacing w:after="80"/>
      </w:pPr>
      <w:r>
        <w:t xml:space="preserve">Play Store: upload the .aab in Google Play Console, complete the store listing, submit for review</w:t>
      </w:r>
    </w:p>
    <w:p>
      <w:pPr>
        <w:pStyle w:val="Heading1"/>
        <w:spacing w:after="200" w:before="400"/>
      </w:pPr>
      <w:r>
        <w:t xml:space="preserve">7. Building &amp; Installing on iOS</w:t>
      </w:r>
    </w:p>
    <w:p>
      <w:pPr>
        <w:pStyle w:val="Heading2"/>
        <w:spacing w:after="120" w:before="280"/>
      </w:pPr>
      <w:r>
        <w:t xml:space="preserve">Development testing</w:t>
      </w:r>
    </w:p>
    <w:p>
      <w:pPr>
        <w:pStyle w:val="ListParagraph"/>
        <w:numPr>
          <w:ilvl w:val="0"/>
          <w:numId w:val="2"/>
        </w:numPr>
        <w:spacing w:after="80"/>
      </w:pPr>
      <w:r>
        <w:t xml:space="preserve">Simplest: Expo Go, same as Android — works for anything not requiring a custom native module</w:t>
      </w:r>
    </w:p>
    <w:p>
      <w:pPr>
        <w:pStyle w:val="ListParagraph"/>
        <w:numPr>
          <w:ilvl w:val="0"/>
          <w:numId w:val="2"/>
        </w:numPr>
        <w:spacing w:after="80"/>
      </w:pPr>
      <w:r>
        <w:t xml:space="preserve">Custom development client: npx expo run:ios (requires a Mac with Xcode)</w:t>
      </w:r>
    </w:p>
    <w:p>
      <w:pPr>
        <w:shd w:fill="FFF7E0" w:val="clear"/>
        <w:spacing w:after="160" w:before="60"/>
        <w:ind w:left="120"/>
      </w:pPr>
      <w:r>
        <w:rPr>
          <w:b/>
          <w:bCs/>
        </w:rPr>
        <w:t xml:space="preserve">Note: </w:t>
      </w:r>
      <w:r>
        <w:t xml:space="preserve">An active Apple Developer Program membership ($99/year) is required for any real-device iOS testing or distribution — there is no free sideloading path on iOS, unlike Android.</w:t>
      </w:r>
    </w:p>
    <w:p>
      <w:pPr>
        <w:pStyle w:val="Heading2"/>
        <w:spacing w:after="120" w:before="280"/>
      </w:pPr>
      <w:r>
        <w:t xml:space="preserve">Producing an installable build</w:t>
      </w:r>
    </w:p>
    <w:p>
      <w:pPr>
        <w:shd w:fill="F0F0F0" w:val="clear"/>
        <w:spacing w:after="120" w:before="60"/>
        <w:ind w:left="120" w:right="120"/>
      </w:pPr>
      <w:r>
        <w:rPr>
          <w:rFonts w:ascii="Consolas" w:cs="Consolas" w:eastAsia="Consolas" w:hAnsi="Consolas"/>
          <w:sz w:val="19"/>
          <w:szCs w:val="19"/>
        </w:rPr>
        <w:t xml:space="preserve">eas build --platform ios --profile production</w:t>
      </w:r>
    </w:p>
    <w:p>
      <w:pPr>
        <w:spacing w:after="120"/>
      </w:pPr>
      <w:r>
        <w:t xml:space="preserve">EAS can generate and manage the required Apple signing certificates and provisioning profiles automatically during this step.</w:t>
      </w:r>
    </w:p>
    <w:p>
      <w:pPr>
        <w:pStyle w:val="Heading2"/>
        <w:spacing w:after="120" w:before="280"/>
      </w:pPr>
      <w:r>
        <w:t xml:space="preserve">Installing</w:t>
      </w:r>
    </w:p>
    <w:p>
      <w:pPr>
        <w:pStyle w:val="ListParagraph"/>
        <w:numPr>
          <w:ilvl w:val="0"/>
          <w:numId w:val="2"/>
        </w:numPr>
        <w:spacing w:after="80"/>
      </w:pPr>
      <w:r>
        <w:t xml:space="preserve">TestFlight (recommended): eas submit --platform ios uploads the build; invite up to 100 "internal" testers instantly (your Apple Developer team members) or up to 10,000 "external" testers (requires one light Apple review, ~24–48 hours, only once per build)</w:t>
      </w:r>
    </w:p>
    <w:p>
      <w:pPr>
        <w:pStyle w:val="ListParagraph"/>
        <w:numPr>
          <w:ilvl w:val="0"/>
          <w:numId w:val="2"/>
        </w:numPr>
        <w:spacing w:after="80"/>
      </w:pPr>
      <w:r>
        <w:t xml:space="preserve">App Store: full public listing and review process (can take several days)</w:t>
      </w:r>
    </w:p>
    <w:p>
      <w:pPr>
        <w:pStyle w:val="Heading1"/>
        <w:spacing w:after="200" w:before="400"/>
      </w:pPr>
      <w:r>
        <w:t xml:space="preserve">8. Production Hosting Architecture</w:t>
      </w:r>
    </w:p>
    <w:p>
      <w:pPr>
        <w:spacing w:after="120"/>
      </w:pPr>
      <w:r>
        <w:t xml:space="preserve">The repository’s existing docker-compose.yml already defines the full stack: MySQL, backend-py, and an nginx container serving the built web app and proxying /api to backend-py. The same file is a reasonable starting point for production, with a few additions.</w:t>
      </w:r>
    </w:p>
    <w:p>
      <w:pPr>
        <w:pStyle w:val="Heading2"/>
        <w:spacing w:after="120" w:before="280"/>
      </w:pPr>
      <w:r>
        <w:t xml:space="preserve">Recommended setup, in order of scale</w:t>
      </w:r>
    </w:p>
    <w:p>
      <w:pPr>
        <w:pStyle w:val="ListParagraph"/>
        <w:numPr>
          <w:ilvl w:val="0"/>
          <w:numId w:val="2"/>
        </w:numPr>
        <w:spacing w:after="80"/>
      </w:pPr>
      <w:r>
        <w:t xml:space="preserve">Small scale (recommended to start): one VM running the existing docker-compose stack, with a reverse proxy (Caddy or nginx) in front handling HTTPS via a free Let’s Encrypt certificate</w:t>
      </w:r>
    </w:p>
    <w:p>
      <w:pPr>
        <w:pStyle w:val="ListParagraph"/>
        <w:numPr>
          <w:ilvl w:val="0"/>
          <w:numId w:val="2"/>
        </w:numPr>
        <w:spacing w:after="80"/>
      </w:pPr>
      <w:r>
        <w:t xml:space="preserve">Medium scale: move to a managed container service (AWS ECS Fargate, Azure Container Apps, or Google Cloud Run) — no server patching, scales automatically, pay only for what runs</w:t>
      </w:r>
    </w:p>
    <w:p>
      <w:pPr>
        <w:pStyle w:val="ListParagraph"/>
        <w:numPr>
          <w:ilvl w:val="0"/>
          <w:numId w:val="2"/>
        </w:numPr>
        <w:spacing w:after="80"/>
      </w:pPr>
      <w:r>
        <w:t xml:space="preserve">Large scale: Kubernetes — only worth the added operational complexity once traffic or team size genuinely requires it</w:t>
      </w:r>
    </w:p>
    <w:p>
      <w:pPr>
        <w:pStyle w:val="Heading2"/>
        <w:spacing w:after="120" w:before="280"/>
      </w:pPr>
      <w:r>
        <w:t xml:space="preserve">Database</w:t>
      </w:r>
    </w:p>
    <w:p>
      <w:pPr>
        <w:spacing w:after="120"/>
      </w:pPr>
      <w:r>
        <w:t xml:space="preserve">For production, use a managed MySQL service (e.g. AWS RDS, Azure Database for MySQL) rather than a database container — automatic backups, patching, and failover are worth the extra cost once the app is relied on for real work (see Section 10 for a lower-cost alternative for very small teams).</w:t>
      </w:r>
    </w:p>
    <w:p>
      <w:pPr>
        <w:pStyle w:val="Heading2"/>
        <w:spacing w:after="120" w:before="280"/>
      </w:pPr>
      <w:r>
        <w:t xml:space="preserve">Mobile app’s backend address</w:t>
      </w:r>
    </w:p>
    <w:p>
      <w:pPr>
        <w:spacing w:after="120"/>
      </w:pPr>
      <w:r>
        <w:t xml:space="preserve">The mobile app’s API address (EXPO_PUBLIC_API_BASE_URL) is baked into the app at build time — it cannot be changed after installation without shipping a new build. Production builds must point at the real HTTPS domain (e.g. https://api.yourdomain.com), never a LAN IP.</w:t>
      </w:r>
    </w:p>
    <w:p>
      <w:pPr>
        <w:pStyle w:val="Heading2"/>
        <w:spacing w:after="120" w:before="280"/>
      </w:pPr>
      <w:r>
        <w:t xml:space="preserve">File storage</w:t>
      </w:r>
    </w:p>
    <w:p>
      <w:pPr>
        <w:spacing w:after="120"/>
      </w:pPr>
      <w:r>
        <w:t xml:space="preserve">Attachments and avatars are currently stored on a local disk volume. That is fine for a single backend instance; if the production setup ever runs more than one backend replica, move this to shared object storage (e.g. an S3-compatible bucket) so any replica can serve any file.</w:t>
      </w:r>
    </w:p>
    <w:p>
      <w:pPr>
        <w:pStyle w:val="Heading1"/>
        <w:spacing w:after="200" w:before="400"/>
      </w:pPr>
      <w:r>
        <w:t xml:space="preserve">9. Ongoing Maintenance &amp; Operations</w:t>
      </w:r>
    </w:p>
    <w:p>
      <w:pPr>
        <w:pStyle w:val="Heading2"/>
        <w:spacing w:after="120" w:before="280"/>
      </w:pPr>
      <w:r>
        <w:t xml:space="preserve">Monitoring</w:t>
      </w:r>
    </w:p>
    <w:p>
      <w:pPr>
        <w:pStyle w:val="ListParagraph"/>
        <w:numPr>
          <w:ilvl w:val="0"/>
          <w:numId w:val="2"/>
        </w:numPr>
        <w:spacing w:after="80"/>
      </w:pPr>
      <w:r>
        <w:t xml:space="preserve">Poll GET /api/health from an uptime monitor (e.g. UptimeRobot, or the cloud provider’s built-in health checks)</w:t>
      </w:r>
    </w:p>
    <w:p>
      <w:pPr>
        <w:pStyle w:val="ListParagraph"/>
        <w:numPr>
          <w:ilvl w:val="0"/>
          <w:numId w:val="2"/>
        </w:numPr>
        <w:spacing w:after="80"/>
      </w:pPr>
      <w:r>
        <w:t xml:space="preserve">Centralize backend and nginx logs (cloud provider’s logging service, or a self-hosted stack like Grafana Loki)</w:t>
      </w:r>
    </w:p>
    <w:p>
      <w:pPr>
        <w:pStyle w:val="Heading2"/>
        <w:spacing w:after="120" w:before="280"/>
      </w:pPr>
      <w:r>
        <w:t xml:space="preserve">Deploying backend changes</w:t>
      </w:r>
    </w:p>
    <w:p>
      <w:pPr>
        <w:pStyle w:val="ListParagraph"/>
        <w:numPr>
          <w:ilvl w:val="0"/>
          <w:numId w:val="2"/>
        </w:numPr>
        <w:spacing w:after="80"/>
      </w:pPr>
      <w:r>
        <w:t xml:space="preserve">Run database migrations before starting the new version: alembic upgrade head</w:t>
      </w:r>
    </w:p>
    <w:p>
      <w:pPr>
        <w:pStyle w:val="ListParagraph"/>
        <w:numPr>
          <w:ilvl w:val="0"/>
          <w:numId w:val="2"/>
        </w:numPr>
        <w:spacing w:after="80"/>
      </w:pPr>
      <w:r>
        <w:t xml:space="preserve">Then restart/replace the backend process — a brief interruption is expected unless running more than one replica behind a load balancer (rolling/blue-green deploy)</w:t>
      </w:r>
    </w:p>
    <w:p>
      <w:pPr>
        <w:pStyle w:val="Heading2"/>
        <w:spacing w:after="120" w:before="280"/>
      </w:pPr>
      <w:r>
        <w:t xml:space="preserve">Deploying mobile app changes</w:t>
      </w:r>
    </w:p>
    <w:p>
      <w:pPr>
        <w:pStyle w:val="ListParagraph"/>
        <w:numPr>
          <w:ilvl w:val="0"/>
          <w:numId w:val="2"/>
        </w:numPr>
        <w:spacing w:after="80"/>
      </w:pPr>
      <w:r>
        <w:t xml:space="preserve">JavaScript/asset-only changes (most bug fixes and UI tweaks): push instantly to already-installed apps with eas update — no app-store review, no reinstall needed</w:t>
      </w:r>
    </w:p>
    <w:p>
      <w:pPr>
        <w:pStyle w:val="ListParagraph"/>
        <w:numPr>
          <w:ilvl w:val="0"/>
          <w:numId w:val="2"/>
        </w:numPr>
        <w:spacing w:after="80"/>
      </w:pPr>
      <w:r>
        <w:t xml:space="preserve">Changes that add or upgrade a native module (e.g. a new Expo SDK version): require a full new build and redistribution through Section 6/7’s process — batch these so they happen rarely</w:t>
      </w:r>
    </w:p>
    <w:p>
      <w:pPr>
        <w:pStyle w:val="Heading2"/>
        <w:spacing w:after="120" w:before="280"/>
      </w:pPr>
      <w:r>
        <w:t xml:space="preserve">Backups</w:t>
      </w:r>
    </w:p>
    <w:p>
      <w:pPr>
        <w:pStyle w:val="ListParagraph"/>
        <w:numPr>
          <w:ilvl w:val="0"/>
          <w:numId w:val="2"/>
        </w:numPr>
        <w:spacing w:after="80"/>
      </w:pPr>
      <w:r>
        <w:t xml:space="preserve">Managed database services back up automatically — confirm the retention window meets the business’s needs</w:t>
      </w:r>
    </w:p>
    <w:p>
      <w:pPr>
        <w:pStyle w:val="ListParagraph"/>
        <w:numPr>
          <w:ilvl w:val="0"/>
          <w:numId w:val="2"/>
        </w:numPr>
        <w:spacing w:after="80"/>
      </w:pPr>
      <w:r>
        <w:t xml:space="preserve">Self-hosted MySQL needs an explicit scheduled job (mysqldump on a cron, copied off the server) — untested backups are not backups</w:t>
      </w:r>
    </w:p>
    <w:p>
      <w:pPr>
        <w:pStyle w:val="Heading2"/>
        <w:spacing w:after="120" w:before="280"/>
      </w:pPr>
      <w:r>
        <w:t xml:space="preserve">CI/CD (recommended, not yet set up)</w:t>
      </w:r>
    </w:p>
    <w:p>
      <w:pPr>
        <w:pStyle w:val="ListParagraph"/>
        <w:numPr>
          <w:ilvl w:val="0"/>
          <w:numId w:val="2"/>
        </w:numPr>
        <w:spacing w:after="80"/>
      </w:pPr>
      <w:r>
        <w:t xml:space="preserve">On every push: run the backend test suite (pytest) and the mobile type-check (tsc --noEmit)</w:t>
      </w:r>
    </w:p>
    <w:p>
      <w:pPr>
        <w:pStyle w:val="ListParagraph"/>
        <w:numPr>
          <w:ilvl w:val="0"/>
          <w:numId w:val="2"/>
        </w:numPr>
        <w:spacing w:after="80"/>
      </w:pPr>
      <w:r>
        <w:t xml:space="preserve">On merge to main: build and deploy the backend/web images, running alembic upgrade head as part of the deploy</w:t>
      </w:r>
    </w:p>
    <w:p>
      <w:pPr>
        <w:pStyle w:val="ListParagraph"/>
        <w:numPr>
          <w:ilvl w:val="0"/>
          <w:numId w:val="2"/>
        </w:numPr>
        <w:spacing w:after="80"/>
      </w:pPr>
      <w:r>
        <w:t xml:space="preserve">On a tagged release: trigger eas update (JS changes) or eas build (native changes) for mobile</w:t>
      </w:r>
    </w:p>
    <w:p>
      <w:pPr>
        <w:pStyle w:val="Heading1"/>
        <w:spacing w:after="200" w:before="400"/>
      </w:pPr>
      <w:r>
        <w:t xml:space="preserve">10. Cost Breakdown &amp; Reduction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2E6B45" w:val="clear"/>
            <w:tcMar>
              <w:top w:type="dxa" w:w="80"/>
              <w:left w:type="dxa" w:w="120"/>
              <w:bottom w:type="dxa" w:w="80"/>
              <w:right w:type="dxa" w:w="120"/>
            </w:tcMar>
          </w:tcPr>
          <w:p>
            <w:r>
              <w:rPr>
                <w:b/>
                <w:bCs/>
                <w:color w:val="FFFFFF"/>
                <w:sz w:val="20"/>
                <w:szCs w:val="20"/>
              </w:rPr>
              <w:t xml:space="preserve">Cost item</w:t>
            </w:r>
          </w:p>
        </w:tc>
        <w:tc>
          <w:tcPr>
            <w:tcW w:type="dxa" w:w="2200"/>
            <w:shd w:fill="2E6B45" w:val="clear"/>
            <w:tcMar>
              <w:top w:type="dxa" w:w="80"/>
              <w:left w:type="dxa" w:w="120"/>
              <w:bottom w:type="dxa" w:w="80"/>
              <w:right w:type="dxa" w:w="120"/>
            </w:tcMar>
          </w:tcPr>
          <w:p>
            <w:r>
              <w:rPr>
                <w:b/>
                <w:bCs/>
                <w:color w:val="FFFFFF"/>
                <w:sz w:val="20"/>
                <w:szCs w:val="20"/>
              </w:rPr>
              <w:t xml:space="preserve">Typical cost</w:t>
            </w:r>
          </w:p>
        </w:tc>
        <w:tc>
          <w:tcPr>
            <w:tcW w:type="dxa" w:w="4400"/>
            <w:shd w:fill="2E6B45" w:val="clear"/>
            <w:tcMar>
              <w:top w:type="dxa" w:w="80"/>
              <w:left w:type="dxa" w:w="120"/>
              <w:bottom w:type="dxa" w:w="80"/>
              <w:right w:type="dxa" w:w="120"/>
            </w:tcMar>
          </w:tcPr>
          <w:p>
            <w:r>
              <w:rPr>
                <w:b/>
                <w:bCs/>
                <w:color w:val="FFFFFF"/>
                <w:sz w:val="20"/>
                <w:szCs w:val="20"/>
              </w:rPr>
              <w:t xml:space="preserve">Cheaper alternative used / recommended</w:t>
            </w:r>
          </w:p>
        </w:tc>
      </w:tr>
      <w:tr>
        <w:tc>
          <w:tcPr>
            <w:tcW w:type="dxa" w:w="2400"/>
            <w:tcMar>
              <w:top w:type="dxa" w:w="80"/>
              <w:left w:type="dxa" w:w="120"/>
              <w:bottom w:type="dxa" w:w="80"/>
              <w:right w:type="dxa" w:w="120"/>
            </w:tcMar>
          </w:tcPr>
          <w:p>
            <w:r>
              <w:rPr>
                <w:b w:val="false"/>
                <w:bCs w:val="false"/>
                <w:sz w:val="20"/>
                <w:szCs w:val="20"/>
              </w:rPr>
              <w:t xml:space="preserve">App server (backend-py + web)</w:t>
            </w:r>
          </w:p>
        </w:tc>
        <w:tc>
          <w:tcPr>
            <w:tcW w:type="dxa" w:w="2200"/>
            <w:tcMar>
              <w:top w:type="dxa" w:w="80"/>
              <w:left w:type="dxa" w:w="120"/>
              <w:bottom w:type="dxa" w:w="80"/>
              <w:right w:type="dxa" w:w="120"/>
            </w:tcMar>
          </w:tcPr>
          <w:p>
            <w:r>
              <w:rPr>
                <w:b w:val="false"/>
                <w:bCs w:val="false"/>
                <w:sz w:val="20"/>
                <w:szCs w:val="20"/>
              </w:rPr>
              <w:t xml:space="preserve">$10–100+/mo (managed containers)</w:t>
            </w:r>
          </w:p>
        </w:tc>
        <w:tc>
          <w:tcPr>
            <w:tcW w:type="dxa" w:w="4400"/>
            <w:tcMar>
              <w:top w:type="dxa" w:w="80"/>
              <w:left w:type="dxa" w:w="120"/>
              <w:bottom w:type="dxa" w:w="80"/>
              <w:right w:type="dxa" w:w="120"/>
            </w:tcMar>
          </w:tcPr>
          <w:p>
            <w:r>
              <w:rPr>
                <w:b w:val="false"/>
                <w:bCs w:val="false"/>
                <w:sz w:val="20"/>
                <w:szCs w:val="20"/>
              </w:rPr>
              <w:t xml:space="preserve">One small VM (Hetzner/DigitalOcean, $5–$20/mo) running the existing docker-compose stack</w:t>
            </w:r>
          </w:p>
        </w:tc>
      </w:tr>
      <w:tr>
        <w:tc>
          <w:tcPr>
            <w:tcW w:type="dxa" w:w="2400"/>
            <w:tcMar>
              <w:top w:type="dxa" w:w="80"/>
              <w:left w:type="dxa" w:w="120"/>
              <w:bottom w:type="dxa" w:w="80"/>
              <w:right w:type="dxa" w:w="120"/>
            </w:tcMar>
          </w:tcPr>
          <w:p>
            <w:r>
              <w:rPr>
                <w:b w:val="false"/>
                <w:bCs w:val="false"/>
                <w:sz w:val="20"/>
                <w:szCs w:val="20"/>
              </w:rPr>
              <w:t xml:space="preserve">MySQL database</w:t>
            </w:r>
          </w:p>
        </w:tc>
        <w:tc>
          <w:tcPr>
            <w:tcW w:type="dxa" w:w="2200"/>
            <w:tcMar>
              <w:top w:type="dxa" w:w="80"/>
              <w:left w:type="dxa" w:w="120"/>
              <w:bottom w:type="dxa" w:w="80"/>
              <w:right w:type="dxa" w:w="120"/>
            </w:tcMar>
          </w:tcPr>
          <w:p>
            <w:r>
              <w:rPr>
                <w:b w:val="false"/>
                <w:bCs w:val="false"/>
                <w:sz w:val="20"/>
                <w:szCs w:val="20"/>
              </w:rPr>
              <w:t xml:space="preserve">$15–$60+/mo (managed)</w:t>
            </w:r>
          </w:p>
        </w:tc>
        <w:tc>
          <w:tcPr>
            <w:tcW w:type="dxa" w:w="4400"/>
            <w:tcMar>
              <w:top w:type="dxa" w:w="80"/>
              <w:left w:type="dxa" w:w="120"/>
              <w:bottom w:type="dxa" w:w="80"/>
              <w:right w:type="dxa" w:w="120"/>
            </w:tcMar>
          </w:tcPr>
          <w:p>
            <w:r>
              <w:rPr>
                <w:b w:val="false"/>
                <w:bCs w:val="false"/>
                <w:sz w:val="20"/>
                <w:szCs w:val="20"/>
              </w:rPr>
              <w:t xml:space="preserve">Self-host in the same VM for small teams; move to managed only once uptime/backups matter financially</w:t>
            </w:r>
          </w:p>
        </w:tc>
      </w:tr>
      <w:tr>
        <w:tc>
          <w:tcPr>
            <w:tcW w:type="dxa" w:w="2400"/>
            <w:tcMar>
              <w:top w:type="dxa" w:w="80"/>
              <w:left w:type="dxa" w:w="120"/>
              <w:bottom w:type="dxa" w:w="80"/>
              <w:right w:type="dxa" w:w="120"/>
            </w:tcMar>
          </w:tcPr>
          <w:p>
            <w:r>
              <w:rPr>
                <w:b w:val="false"/>
                <w:bCs w:val="false"/>
                <w:sz w:val="20"/>
                <w:szCs w:val="20"/>
              </w:rPr>
              <w:t xml:space="preserve">Domain name</w:t>
            </w:r>
          </w:p>
        </w:tc>
        <w:tc>
          <w:tcPr>
            <w:tcW w:type="dxa" w:w="2200"/>
            <w:tcMar>
              <w:top w:type="dxa" w:w="80"/>
              <w:left w:type="dxa" w:w="120"/>
              <w:bottom w:type="dxa" w:w="80"/>
              <w:right w:type="dxa" w:w="120"/>
            </w:tcMar>
          </w:tcPr>
          <w:p>
            <w:r>
              <w:rPr>
                <w:b w:val="false"/>
                <w:bCs w:val="false"/>
                <w:sz w:val="20"/>
                <w:szCs w:val="20"/>
              </w:rPr>
              <w:t xml:space="preserve">$10–$15/yr</w:t>
            </w:r>
          </w:p>
        </w:tc>
        <w:tc>
          <w:tcPr>
            <w:tcW w:type="dxa" w:w="4400"/>
            <w:tcMar>
              <w:top w:type="dxa" w:w="80"/>
              <w:left w:type="dxa" w:w="120"/>
              <w:bottom w:type="dxa" w:w="80"/>
              <w:right w:type="dxa" w:w="120"/>
            </w:tcMar>
          </w:tcPr>
          <w:p>
            <w:r>
              <w:rPr>
                <w:b w:val="false"/>
                <w:bCs w:val="false"/>
                <w:sz w:val="20"/>
                <w:szCs w:val="20"/>
              </w:rPr>
              <w:t xml:space="preserve">One-time purchase, negligible — no cheaper option needed</w:t>
            </w:r>
          </w:p>
        </w:tc>
      </w:tr>
      <w:tr>
        <w:tc>
          <w:tcPr>
            <w:tcW w:type="dxa" w:w="2400"/>
            <w:tcMar>
              <w:top w:type="dxa" w:w="80"/>
              <w:left w:type="dxa" w:w="120"/>
              <w:bottom w:type="dxa" w:w="80"/>
              <w:right w:type="dxa" w:w="120"/>
            </w:tcMar>
          </w:tcPr>
          <w:p>
            <w:r>
              <w:rPr>
                <w:b w:val="false"/>
                <w:bCs w:val="false"/>
                <w:sz w:val="20"/>
                <w:szCs w:val="20"/>
              </w:rPr>
              <w:t xml:space="preserve">TLS certificate</w:t>
            </w:r>
          </w:p>
        </w:tc>
        <w:tc>
          <w:tcPr>
            <w:tcW w:type="dxa" w:w="2200"/>
            <w:tcMar>
              <w:top w:type="dxa" w:w="80"/>
              <w:left w:type="dxa" w:w="120"/>
              <w:bottom w:type="dxa" w:w="80"/>
              <w:right w:type="dxa" w:w="120"/>
            </w:tcMar>
          </w:tcPr>
          <w:p>
            <w:r>
              <w:rPr>
                <w:b w:val="false"/>
                <w:bCs w:val="false"/>
                <w:sz w:val="20"/>
                <w:szCs w:val="20"/>
              </w:rPr>
              <w:t xml:space="preserve">Often free</w:t>
            </w:r>
          </w:p>
        </w:tc>
        <w:tc>
          <w:tcPr>
            <w:tcW w:type="dxa" w:w="4400"/>
            <w:tcMar>
              <w:top w:type="dxa" w:w="80"/>
              <w:left w:type="dxa" w:w="120"/>
              <w:bottom w:type="dxa" w:w="80"/>
              <w:right w:type="dxa" w:w="120"/>
            </w:tcMar>
          </w:tcPr>
          <w:p>
            <w:r>
              <w:rPr>
                <w:b w:val="false"/>
                <w:bCs w:val="false"/>
                <w:sz w:val="20"/>
                <w:szCs w:val="20"/>
              </w:rPr>
              <w:t xml:space="preserve">Let's Encrypt via Caddy/Traefik/nginx — confirm nothing is paying for a cert unnecessarily</w:t>
            </w:r>
          </w:p>
        </w:tc>
      </w:tr>
      <w:tr>
        <w:tc>
          <w:tcPr>
            <w:tcW w:type="dxa" w:w="2400"/>
            <w:tcMar>
              <w:top w:type="dxa" w:w="80"/>
              <w:left w:type="dxa" w:w="120"/>
              <w:bottom w:type="dxa" w:w="80"/>
              <w:right w:type="dxa" w:w="120"/>
            </w:tcMar>
          </w:tcPr>
          <w:p>
            <w:r>
              <w:rPr>
                <w:b w:val="false"/>
                <w:bCs w:val="false"/>
                <w:sz w:val="20"/>
                <w:szCs w:val="20"/>
              </w:rPr>
              <w:t xml:space="preserve">Apple Developer Program</w:t>
            </w:r>
          </w:p>
        </w:tc>
        <w:tc>
          <w:tcPr>
            <w:tcW w:type="dxa" w:w="2200"/>
            <w:tcMar>
              <w:top w:type="dxa" w:w="80"/>
              <w:left w:type="dxa" w:w="120"/>
              <w:bottom w:type="dxa" w:w="80"/>
              <w:right w:type="dxa" w:w="120"/>
            </w:tcMar>
          </w:tcPr>
          <w:p>
            <w:r>
              <w:rPr>
                <w:b w:val="false"/>
                <w:bCs w:val="false"/>
                <w:sz w:val="20"/>
                <w:szCs w:val="20"/>
              </w:rPr>
              <w:t xml:space="preserve">$99/yr</w:t>
            </w:r>
          </w:p>
        </w:tc>
        <w:tc>
          <w:tcPr>
            <w:tcW w:type="dxa" w:w="4400"/>
            <w:tcMar>
              <w:top w:type="dxa" w:w="80"/>
              <w:left w:type="dxa" w:w="120"/>
              <w:bottom w:type="dxa" w:w="80"/>
              <w:right w:type="dxa" w:w="120"/>
            </w:tcMar>
          </w:tcPr>
          <w:p>
            <w:r>
              <w:rPr>
                <w:b w:val="false"/>
                <w:bCs w:val="false"/>
                <w:sz w:val="20"/>
                <w:szCs w:val="20"/>
              </w:rPr>
              <w:t xml:space="preserve">Mandatory for any real iOS device install (even internal) — no free path exists; budget once, renew yearly</w:t>
            </w:r>
          </w:p>
        </w:tc>
      </w:tr>
      <w:tr>
        <w:tc>
          <w:tcPr>
            <w:tcW w:type="dxa" w:w="2400"/>
            <w:tcMar>
              <w:top w:type="dxa" w:w="80"/>
              <w:left w:type="dxa" w:w="120"/>
              <w:bottom w:type="dxa" w:w="80"/>
              <w:right w:type="dxa" w:w="120"/>
            </w:tcMar>
          </w:tcPr>
          <w:p>
            <w:r>
              <w:rPr>
                <w:b w:val="false"/>
                <w:bCs w:val="false"/>
                <w:sz w:val="20"/>
                <w:szCs w:val="20"/>
              </w:rPr>
              <w:t xml:space="preserve">Google Play Console</w:t>
            </w:r>
          </w:p>
        </w:tc>
        <w:tc>
          <w:tcPr>
            <w:tcW w:type="dxa" w:w="2200"/>
            <w:tcMar>
              <w:top w:type="dxa" w:w="80"/>
              <w:left w:type="dxa" w:w="120"/>
              <w:bottom w:type="dxa" w:w="80"/>
              <w:right w:type="dxa" w:w="120"/>
            </w:tcMar>
          </w:tcPr>
          <w:p>
            <w:r>
              <w:rPr>
                <w:b w:val="false"/>
                <w:bCs w:val="false"/>
                <w:sz w:val="20"/>
                <w:szCs w:val="20"/>
              </w:rPr>
              <w:t xml:space="preserve">$25 one-time</w:t>
            </w:r>
          </w:p>
        </w:tc>
        <w:tc>
          <w:tcPr>
            <w:tcW w:type="dxa" w:w="4400"/>
            <w:tcMar>
              <w:top w:type="dxa" w:w="80"/>
              <w:left w:type="dxa" w:w="120"/>
              <w:bottom w:type="dxa" w:w="80"/>
              <w:right w:type="dxa" w:w="120"/>
            </w:tcMar>
          </w:tcPr>
          <w:p>
            <w:r>
              <w:rPr>
                <w:b w:val="false"/>
                <w:bCs w:val="false"/>
                <w:sz w:val="20"/>
                <w:szCs w:val="20"/>
              </w:rPr>
              <w:t xml:space="preserve">Only needed if publishing publicly on the Play Store — skip entirely for internal-only Android distribution</w:t>
            </w:r>
          </w:p>
        </w:tc>
      </w:tr>
      <w:tr>
        <w:tc>
          <w:tcPr>
            <w:tcW w:type="dxa" w:w="2400"/>
            <w:tcMar>
              <w:top w:type="dxa" w:w="80"/>
              <w:left w:type="dxa" w:w="120"/>
              <w:bottom w:type="dxa" w:w="80"/>
              <w:right w:type="dxa" w:w="120"/>
            </w:tcMar>
          </w:tcPr>
          <w:p>
            <w:r>
              <w:rPr>
                <w:b w:val="false"/>
                <w:bCs w:val="false"/>
                <w:sz w:val="20"/>
                <w:szCs w:val="20"/>
              </w:rPr>
              <w:t xml:space="preserve">EAS Build (Expo)</w:t>
            </w:r>
          </w:p>
        </w:tc>
        <w:tc>
          <w:tcPr>
            <w:tcW w:type="dxa" w:w="2200"/>
            <w:tcMar>
              <w:top w:type="dxa" w:w="80"/>
              <w:left w:type="dxa" w:w="120"/>
              <w:bottom w:type="dxa" w:w="80"/>
              <w:right w:type="dxa" w:w="120"/>
            </w:tcMar>
          </w:tcPr>
          <w:p>
            <w:r>
              <w:rPr>
                <w:b w:val="false"/>
                <w:bCs w:val="false"/>
                <w:sz w:val="20"/>
                <w:szCs w:val="20"/>
              </w:rPr>
              <w:t xml:space="preserve">Free tier: limited builds/mo</w:t>
            </w:r>
          </w:p>
        </w:tc>
        <w:tc>
          <w:tcPr>
            <w:tcW w:type="dxa" w:w="4400"/>
            <w:tcMar>
              <w:top w:type="dxa" w:w="80"/>
              <w:left w:type="dxa" w:w="120"/>
              <w:bottom w:type="dxa" w:w="80"/>
              <w:right w:type="dxa" w:w="120"/>
            </w:tcMar>
          </w:tcPr>
          <w:p>
            <w:r>
              <w:rPr>
                <w:b w:val="false"/>
                <w:bCs w:val="false"/>
                <w:sz w:val="20"/>
                <w:szCs w:val="20"/>
              </w:rPr>
              <w:t xml:space="preserve">Stay on the free tier unless the team needs many builds per day</w:t>
            </w:r>
          </w:p>
        </w:tc>
      </w:tr>
      <w:tr>
        <w:tc>
          <w:tcPr>
            <w:tcW w:type="dxa" w:w="2400"/>
            <w:tcMar>
              <w:top w:type="dxa" w:w="80"/>
              <w:left w:type="dxa" w:w="120"/>
              <w:bottom w:type="dxa" w:w="80"/>
              <w:right w:type="dxa" w:w="120"/>
            </w:tcMar>
          </w:tcPr>
          <w:p>
            <w:r>
              <w:rPr>
                <w:b w:val="false"/>
                <w:bCs w:val="false"/>
                <w:sz w:val="20"/>
                <w:szCs w:val="20"/>
              </w:rPr>
              <w:t xml:space="preserve">Microsoft Entra ID</w:t>
            </w:r>
          </w:p>
        </w:tc>
        <w:tc>
          <w:tcPr>
            <w:tcW w:type="dxa" w:w="2200"/>
            <w:tcMar>
              <w:top w:type="dxa" w:w="80"/>
              <w:left w:type="dxa" w:w="120"/>
              <w:bottom w:type="dxa" w:w="80"/>
              <w:right w:type="dxa" w:w="120"/>
            </w:tcMar>
          </w:tcPr>
          <w:p>
            <w:r>
              <w:rPr>
                <w:b w:val="false"/>
                <w:bCs w:val="false"/>
                <w:sz w:val="20"/>
                <w:szCs w:val="20"/>
              </w:rPr>
              <w:t xml:space="preserve">Usually already covered</w:t>
            </w:r>
          </w:p>
        </w:tc>
        <w:tc>
          <w:tcPr>
            <w:tcW w:type="dxa" w:w="4400"/>
            <w:tcMar>
              <w:top w:type="dxa" w:w="80"/>
              <w:left w:type="dxa" w:w="120"/>
              <w:bottom w:type="dxa" w:w="80"/>
              <w:right w:type="dxa" w:w="120"/>
            </w:tcMar>
          </w:tcPr>
          <w:p>
            <w:r>
              <w:rPr>
                <w:b w:val="false"/>
                <w:bCs w:val="false"/>
                <w:sz w:val="20"/>
                <w:szCs w:val="20"/>
              </w:rPr>
              <w:t xml:space="preserve">Confirm it's included in the org's existing Microsoft 365/Entra subscription — no separate spend expected</w:t>
            </w:r>
          </w:p>
        </w:tc>
      </w:tr>
      <w:tr>
        <w:tc>
          <w:tcPr>
            <w:tcW w:type="dxa" w:w="2400"/>
            <w:tcMar>
              <w:top w:type="dxa" w:w="80"/>
              <w:left w:type="dxa" w:w="120"/>
              <w:bottom w:type="dxa" w:w="80"/>
              <w:right w:type="dxa" w:w="120"/>
            </w:tcMar>
          </w:tcPr>
          <w:p>
            <w:r>
              <w:rPr>
                <w:b w:val="false"/>
                <w:bCs w:val="false"/>
                <w:sz w:val="20"/>
                <w:szCs w:val="20"/>
              </w:rPr>
              <w:t xml:space="preserve">Push notifications (future)</w:t>
            </w:r>
          </w:p>
        </w:tc>
        <w:tc>
          <w:tcPr>
            <w:tcW w:type="dxa" w:w="2200"/>
            <w:tcMar>
              <w:top w:type="dxa" w:w="80"/>
              <w:left w:type="dxa" w:w="120"/>
              <w:bottom w:type="dxa" w:w="80"/>
              <w:right w:type="dxa" w:w="120"/>
            </w:tcMar>
          </w:tcPr>
          <w:p>
            <w:r>
              <w:rPr>
                <w:b w:val="false"/>
                <w:bCs w:val="false"/>
                <w:sz w:val="20"/>
                <w:szCs w:val="20"/>
              </w:rPr>
              <w:t xml:space="preserve">Expo's push service</w:t>
            </w:r>
          </w:p>
        </w:tc>
        <w:tc>
          <w:tcPr>
            <w:tcW w:type="dxa" w:w="4400"/>
            <w:tcMar>
              <w:top w:type="dxa" w:w="80"/>
              <w:left w:type="dxa" w:w="120"/>
              <w:bottom w:type="dxa" w:w="80"/>
              <w:right w:type="dxa" w:w="120"/>
            </w:tcMar>
          </w:tcPr>
          <w:p>
            <w:r>
              <w:rPr>
                <w:b w:val="false"/>
                <w:bCs w:val="false"/>
                <w:sz w:val="20"/>
                <w:szCs w:val="20"/>
              </w:rPr>
              <w:t xml:space="preserve">Free at the volumes this app would see</w:t>
            </w:r>
          </w:p>
        </w:tc>
      </w:tr>
    </w:tbl>
    <w:p>
      <w:pPr>
        <w:spacing w:after="200"/>
      </w:pPr>
    </w:p>
    <w:p>
      <w:pPr>
        <w:pStyle w:val="Heading2"/>
        <w:spacing w:after="120" w:before="280"/>
      </w:pPr>
      <w:r>
        <w:t xml:space="preserve">Summary recommendation</w:t>
      </w:r>
    </w:p>
    <w:p>
      <w:pPr>
        <w:pStyle w:val="ListParagraph"/>
        <w:numPr>
          <w:ilvl w:val="0"/>
          <w:numId w:val="2"/>
        </w:numPr>
        <w:spacing w:after="80"/>
      </w:pPr>
      <w:r>
        <w:t xml:space="preserve">Run the whole backend + web stack on one small VM using the existing docker-compose file — avoid managed container/orchestration costs until actual scale requires them</w:t>
      </w:r>
    </w:p>
    <w:p>
      <w:pPr>
        <w:pStyle w:val="ListParagraph"/>
        <w:numPr>
          <w:ilvl w:val="0"/>
          <w:numId w:val="2"/>
        </w:numPr>
        <w:spacing w:after="80"/>
      </w:pPr>
      <w:r>
        <w:t xml:space="preserve">Delay the $25 Google Play Console fee until the app is genuinely ready for public listing — internal distribution (Section 11) doesn’t need it</w:t>
      </w:r>
    </w:p>
    <w:p>
      <w:pPr>
        <w:pStyle w:val="ListParagraph"/>
        <w:numPr>
          <w:ilvl w:val="0"/>
          <w:numId w:val="2"/>
        </w:numPr>
        <w:spacing w:after="80"/>
      </w:pPr>
      <w:r>
        <w:t xml:space="preserve">The $99/yr Apple Developer fee is unavoidable the moment iOS is required at all, even for one internal tester — budget it as a fixed annual cost, not a launch-time-only expense</w:t>
      </w:r>
    </w:p>
    <w:p>
      <w:pPr>
        <w:pStyle w:val="ListParagraph"/>
        <w:numPr>
          <w:ilvl w:val="0"/>
          <w:numId w:val="2"/>
        </w:numPr>
        <w:spacing w:after="80"/>
      </w:pPr>
      <w:r>
        <w:t xml:space="preserve">Ship as much as possible through OTA updates (eas update) rather than new builds — avoids both engineering time and any resubmission friction</w:t>
      </w:r>
    </w:p>
    <w:p>
      <w:pPr>
        <w:pStyle w:val="ListParagraph"/>
        <w:numPr>
          <w:ilvl w:val="0"/>
          <w:numId w:val="2"/>
        </w:numPr>
        <w:spacing w:after="80"/>
      </w:pPr>
      <w:r>
        <w:t xml:space="preserve">Use free-tier Let’s Encrypt certificates and standard DNS — no reason to pay for either at this scale</w:t>
      </w:r>
    </w:p>
    <w:p>
      <w:pPr>
        <w:pStyle w:val="Heading1"/>
        <w:spacing w:after="200" w:before="400"/>
      </w:pPr>
      <w:r>
        <w:t xml:space="preserve">11. Private Distribution of the Mobile Apps</w:t>
      </w:r>
    </w:p>
    <w:p>
      <w:pPr>
        <w:spacing w:after="120"/>
      </w:pPr>
      <w:r>
        <w:t xml:space="preserve">Neither platform requires a public App Store / Play Store listing to get the app onto real devices for internal use.</w:t>
      </w:r>
    </w:p>
    <w:p>
      <w:pPr>
        <w:pStyle w:val="Heading2"/>
        <w:spacing w:after="120" w:before="280"/>
      </w:pPr>
      <w:r>
        <w:t xml:space="preserve">Android</w:t>
      </w:r>
    </w:p>
    <w:p>
      <w:pPr>
        <w:pStyle w:val="ListParagraph"/>
        <w:numPr>
          <w:ilvl w:val="0"/>
          <w:numId w:val="2"/>
        </w:numPr>
        <w:spacing w:after="80"/>
      </w:pPr>
      <w:r>
        <w:t xml:space="preserve">Simplest and free: build a .apk (eas build --platform android --profile preview) and share the file directly — by email, Slack, or an internal file share. Each tester enables "Install unknown apps" once and installs it like any downloaded file.</w:t>
      </w:r>
    </w:p>
    <w:p>
      <w:pPr>
        <w:pStyle w:val="ListParagraph"/>
        <w:numPr>
          <w:ilvl w:val="0"/>
          <w:numId w:val="2"/>
        </w:numPr>
        <w:spacing w:after="80"/>
      </w:pPr>
      <w:r>
        <w:t xml:space="preserve">Slicker, still free: Firebase App Distribution — upload the build, invite testers by email; they get a dedicated installer app and automatic update notifications, with no Play Store listing at all.</w:t>
      </w:r>
    </w:p>
    <w:p>
      <w:pPr>
        <w:pStyle w:val="ListParagraph"/>
        <w:numPr>
          <w:ilvl w:val="0"/>
          <w:numId w:val="2"/>
        </w:numPr>
        <w:spacing w:after="80"/>
      </w:pPr>
      <w:r>
        <w:t xml:space="preserve">Also possible: Play Store "Internal testing" track — up to 100 testers, but still requires the one-time $25 Play Console registration.</w:t>
      </w:r>
    </w:p>
    <w:p>
      <w:pPr>
        <w:pStyle w:val="Heading2"/>
        <w:spacing w:after="120" w:before="280"/>
      </w:pPr>
      <w:r>
        <w:t xml:space="preserve">iOS</w:t>
      </w:r>
    </w:p>
    <w:p>
      <w:pPr>
        <w:shd w:fill="FFF7E0" w:val="clear"/>
        <w:spacing w:after="160" w:before="60"/>
        <w:ind w:left="120"/>
      </w:pPr>
      <w:r>
        <w:rPr>
          <w:b/>
          <w:bCs/>
        </w:rPr>
        <w:t xml:space="preserve">Note: </w:t>
      </w:r>
      <w:r>
        <w:t xml:space="preserve">Apple requires a paid Developer account for any real-device distribution, whether public or private — there is no free option on iOS.</w:t>
      </w:r>
    </w:p>
    <w:p>
      <w:pPr>
        <w:pStyle w:val="ListParagraph"/>
        <w:numPr>
          <w:ilvl w:val="0"/>
          <w:numId w:val="2"/>
        </w:numPr>
        <w:spacing w:after="80"/>
      </w:pPr>
      <w:r>
        <w:t xml:space="preserve">Recommended: TestFlight internal testing — invite up to 100 of the organization’s own Apple Developer team members instantly, no Apple review required. This is the simplest path and needs nothing beyond the Developer Program membership already budgeted in Section 10.</w:t>
      </w:r>
    </w:p>
    <w:p>
      <w:pPr>
        <w:pStyle w:val="ListParagraph"/>
        <w:numPr>
          <w:ilvl w:val="0"/>
          <w:numId w:val="2"/>
        </w:numPr>
        <w:spacing w:after="80"/>
      </w:pPr>
      <w:r>
        <w:t xml:space="preserve">Ad-Hoc distribution — register each tester’s device by its UDID in the Apple Developer portal first, then build and install directly. More manual per-device setup, capped at about 100 registered devices, but avoids TestFlight entirely if preferred.</w:t>
      </w:r>
    </w:p>
    <w:p>
      <w:pPr>
        <w:pStyle w:val="ListParagraph"/>
        <w:numPr>
          <w:ilvl w:val="0"/>
          <w:numId w:val="2"/>
        </w:numPr>
        <w:spacing w:after="80"/>
      </w:pPr>
      <w:r>
        <w:t xml:space="preserve">Apple Business/Enterprise Program ($299/yr) — unlimited internal installs with no per-device registration and no App Review, but requires the organization to qualify (a registered legal entity with a D-U-N-S number) and brings stricter compliance obligations. Only worth it for frequent, large-scale internal rollout.</w:t>
      </w:r>
    </w:p>
    <w:p>
      <w:pPr>
        <w:spacing w:after="120"/>
      </w:pPr>
      <w:r>
        <w:t xml:space="preserve">For this project’s scale, TestFlight internal testing is the simplest and lowest-cost path for iOS, and either direct APK sharing or Firebase App Distribution for Android.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2026-09-27T07:48:25.378Z</dcterms:created>
  <dcterms:modified xsi:type="dcterms:W3CDTF">2026-09-27T07:48:25.379Z</dcterms:modified>
</cp:coreProperties>
</file>

<file path=docProps/custom.xml><?xml version="1.0" encoding="utf-8"?>
<Properties xmlns="http://schemas.openxmlformats.org/officeDocument/2006/custom-properties" xmlns:vt="http://schemas.openxmlformats.org/officeDocument/2006/docPropsVTypes"/>
</file>