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PROJECT RESEARCH DOCUMENT</w:t>
      </w:r>
    </w:p>
    <w:p>
      <w:pPr>
        <w:pStyle w:val="Title"/>
        <w:jc w:val="center"/>
      </w:pPr>
      <w:r>
        <w:t>BERT-Based Automatic Question Classification Using the TREC Dataset</w:t>
      </w:r>
    </w:p>
    <w:p>
      <w:pPr>
        <w:jc w:val="center"/>
      </w:pPr>
      <w:r>
        <w:rPr>
          <w:i/>
          <w:sz w:val="24"/>
        </w:rPr>
        <w:t>Project Proposal / Research Documentation</w:t>
      </w:r>
    </w:p>
    <w:p/>
    <w:p>
      <w:pPr>
        <w:jc w:val="center"/>
      </w:pPr>
      <w:r>
        <w:rPr>
          <w:sz w:val="20"/>
        </w:rPr>
        <w:t>Prepared according to the requested project-report format</w:t>
      </w:r>
    </w:p>
    <w:p>
      <w:r>
        <w:br w:type="page"/>
      </w:r>
    </w:p>
    <w:p>
      <w:pPr>
        <w:pStyle w:val="Heading1"/>
      </w:pPr>
      <w:r>
        <w:t>1. Project Title</w:t>
      </w:r>
    </w:p>
    <w:p>
      <w:r>
        <w:rPr>
          <w:b/>
        </w:rPr>
        <w:t>BERT-Based Automatic Question Classification Using the TREC Question Classification Dataset</w:t>
      </w:r>
    </w:p>
    <w:p>
      <w:pPr>
        <w:pStyle w:val="Heading1"/>
      </w:pPr>
      <w:r>
        <w:t>2. Problem Statement</w:t>
      </w:r>
    </w:p>
    <w:p>
      <w:r>
        <w:t>Question classification is an important Natural Language Processing (NLP) task in which a system identifies the type of information requested by a natural-language question. Traditional approaches such as rule-based systems, Support Vector Machines, TF-IDF features, and conventional neural networks depend heavily on manually engineered lexical or syntactic features. These approaches can perform well on benchmark data but may have difficulty capturing contextual relationships between words and handling variations in question wording.</w:t>
      </w:r>
    </w:p>
    <w:p>
      <w:r>
        <w:t>The proposed project addresses this limitation by developing an automatic question-classification system using a pre-trained BERT Transformer model. BERT will be fine-tuned on the TREC Question Classification dataset to classify questions into six coarse categories: Abbreviation, Entity, Description, Human, Location, and Numeric. The system will accept a user question, process it through BERT, predict the most likely question category, and display the prediction together with confidence information through a simple user interface/dashboard.</w:t>
      </w:r>
    </w:p>
    <w:p>
      <w:pPr>
        <w:pStyle w:val="Heading1"/>
      </w:pPr>
      <w:r>
        <w:t>3. Objectives</w:t>
      </w:r>
    </w:p>
    <w:p>
      <w:pPr>
        <w:pStyle w:val="ListBullet"/>
        <w:spacing w:after="60"/>
      </w:pPr>
      <w:r>
        <w:t>To study existing question-classification techniques and identify their limitations.</w:t>
      </w:r>
    </w:p>
    <w:p>
      <w:pPr>
        <w:pStyle w:val="ListBullet"/>
        <w:spacing w:after="60"/>
      </w:pPr>
      <w:r>
        <w:t>To prepare and preprocess the TREC question-classification dataset for model training and evaluation.</w:t>
      </w:r>
    </w:p>
    <w:p>
      <w:pPr>
        <w:pStyle w:val="ListBullet"/>
        <w:spacing w:after="60"/>
      </w:pPr>
      <w:r>
        <w:t>To use BERT, a pre-trained Transformer-based language model, for contextual representation of question text.</w:t>
      </w:r>
    </w:p>
    <w:p>
      <w:pPr>
        <w:pStyle w:val="ListBullet"/>
        <w:spacing w:after="60"/>
      </w:pPr>
      <w:r>
        <w:t>To fine-tune BERT for six-class automatic question classification.</w:t>
      </w:r>
    </w:p>
    <w:p>
      <w:pPr>
        <w:pStyle w:val="ListBullet"/>
        <w:spacing w:after="60"/>
      </w:pPr>
      <w:r>
        <w:t>To evaluate the model using accuracy, precision, recall, F1-score, and a confusion matrix.</w:t>
      </w:r>
    </w:p>
    <w:p>
      <w:pPr>
        <w:pStyle w:val="ListBullet"/>
        <w:spacing w:after="60"/>
      </w:pPr>
      <w:r>
        <w:t>To compare the proposed BERT model with selected traditional/deep-learning baselines where feasible.</w:t>
      </w:r>
    </w:p>
    <w:p>
      <w:pPr>
        <w:pStyle w:val="ListBullet"/>
        <w:spacing w:after="60"/>
      </w:pPr>
      <w:r>
        <w:t>To build a simple application/dashboard where a user can enter a question and receive its predicted category.</w:t>
      </w:r>
    </w:p>
    <w:p>
      <w:pPr>
        <w:pStyle w:val="ListBullet"/>
        <w:spacing w:after="60"/>
      </w:pPr>
      <w:r>
        <w:t>To analyze model errors and identify cases where question wording or semantic ambiguity affects classification.</w:t>
      </w:r>
    </w:p>
    <w:p>
      <w:pPr>
        <w:pStyle w:val="Heading2"/>
      </w:pPr>
      <w:r>
        <w:t>Proposed Model / Framework</w:t>
      </w:r>
    </w:p>
    <w:p>
      <w:r>
        <w:t>The core framework will use BERT-base-uncased with a sequence-classification head. The input question will be tokenized using the BERT tokenizer. BERT will generate contextual representations using its Transformer encoder and self-attention mechanism. The representation associated with the [CLS] token will be passed to a classification layer with six output classes and softmax activation. The model will be fine-tuned using the labeled TREC training data.</w:t>
      </w:r>
    </w:p>
    <w:p>
      <w:r>
        <w:t>Proposed framework:</w:t>
      </w:r>
    </w:p>
    <w:p>
      <w:pPr>
        <w:pStyle w:val="ListBullet"/>
        <w:spacing w:after="60"/>
      </w:pPr>
      <w:r>
        <w:t>Input Question → Text Cleaning/Validation → BERT Tokenizer → BERT Transformer Encoder → [CLS] Representation → Dense Classification Layer → Softmax → Predicted Question Type + Confidence</w:t>
      </w:r>
    </w:p>
    <w:p>
      <w:pPr>
        <w:pStyle w:val="ListBullet"/>
        <w:spacing w:after="60"/>
      </w:pPr>
      <w:r>
        <w:t>Training: TREC labeled questions → tokenization → fine-tuning → validation → model selection → final evaluation.</w:t>
      </w:r>
    </w:p>
    <w:p>
      <w:pPr>
        <w:pStyle w:val="ListBullet"/>
        <w:spacing w:after="60"/>
      </w:pPr>
      <w:r>
        <w:t>Application: User question → trained model → predicted category → confidence score → dashboard display.</w:t>
      </w:r>
    </w:p>
    <w:p>
      <w:pPr>
        <w:pStyle w:val="Heading1"/>
      </w:pPr>
      <w:r>
        <w:t>4. Literature Survey</w:t>
      </w:r>
    </w:p>
    <w:p>
      <w:r>
        <w:t>The following survey includes foundational, deep-learning, Transformer-based, and recent question-classification studies. Reported outcomes are taken from the cited publications or their official research pages. Where a paper does not report a single directly comparable accuracy in the accessible source, the outcome is described qualitatively.</w:t>
      </w:r>
    </w:p>
    <w:p>
      <w:pPr>
        <w:sectPr>
          <w:pgSz w:w="12240" w:h="15840"/>
          <w:pgMar w:top="936" w:right="1008" w:bottom="936" w:left="1008" w:header="720" w:footer="720" w:gutter="0"/>
          <w:cols w:space="720"/>
          <w:docGrid w:linePitch="360"/>
        </w:sectPr>
      </w:pPr>
    </w:p>
    <w:tbl>
      <w:tblPr>
        <w:tblStyle w:val="TableGrid"/>
        <w:tblW w:type="auto" w:w="0"/>
        <w:jc w:val="center"/>
        <w:tblLook w:firstColumn="1" w:firstRow="1" w:lastColumn="0" w:lastRow="0" w:noHBand="0" w:noVBand="1" w:val="04A0"/>
      </w:tblPr>
      <w:tblGrid>
        <w:gridCol w:w="2078"/>
        <w:gridCol w:w="2078"/>
        <w:gridCol w:w="2078"/>
        <w:gridCol w:w="2078"/>
        <w:gridCol w:w="2078"/>
        <w:gridCol w:w="2078"/>
        <w:gridCol w:w="2078"/>
      </w:tblGrid>
      <w:tr>
        <w:tc>
          <w:tcPr>
            <w:tcW w:type="dxa" w:w="504"/>
            <w:vAlign w:val="center"/>
            <w:shd w:fill="D9EAF7"/>
          </w:tcPr>
          <w:p>
            <w:r/>
            <w:r>
              <w:rPr>
                <w:rFonts w:ascii="Aptos" w:hAnsi="Aptos"/>
                <w:b/>
                <w:sz w:val="16"/>
              </w:rPr>
              <w:t>No.</w:t>
            </w:r>
          </w:p>
        </w:tc>
        <w:tc>
          <w:tcPr>
            <w:tcW w:type="dxa" w:w="2232"/>
            <w:vAlign w:val="center"/>
            <w:shd w:fill="D9EAF7"/>
          </w:tcPr>
          <w:p>
            <w:r/>
            <w:r>
              <w:rPr>
                <w:rFonts w:ascii="Aptos" w:hAnsi="Aptos"/>
                <w:b/>
                <w:sz w:val="16"/>
              </w:rPr>
              <w:t>Research Paper</w:t>
            </w:r>
          </w:p>
        </w:tc>
        <w:tc>
          <w:tcPr>
            <w:tcW w:type="dxa" w:w="1944"/>
            <w:vAlign w:val="center"/>
            <w:shd w:fill="D9EAF7"/>
          </w:tcPr>
          <w:p>
            <w:r/>
            <w:r>
              <w:rPr>
                <w:rFonts w:ascii="Aptos" w:hAnsi="Aptos"/>
                <w:b/>
                <w:sz w:val="16"/>
              </w:rPr>
              <w:t>Model / Framework</w:t>
            </w:r>
          </w:p>
        </w:tc>
        <w:tc>
          <w:tcPr>
            <w:tcW w:type="dxa" w:w="2880"/>
            <w:vAlign w:val="center"/>
            <w:shd w:fill="D9EAF7"/>
          </w:tcPr>
          <w:p>
            <w:r/>
            <w:r>
              <w:rPr>
                <w:rFonts w:ascii="Aptos" w:hAnsi="Aptos"/>
                <w:b/>
                <w:sz w:val="16"/>
              </w:rPr>
              <w:t>Outcome</w:t>
            </w:r>
          </w:p>
        </w:tc>
        <w:tc>
          <w:tcPr>
            <w:tcW w:type="dxa" w:w="2880"/>
            <w:vAlign w:val="center"/>
            <w:shd w:fill="D9EAF7"/>
          </w:tcPr>
          <w:p>
            <w:r/>
            <w:r>
              <w:rPr>
                <w:rFonts w:ascii="Aptos" w:hAnsi="Aptos"/>
                <w:b/>
                <w:sz w:val="16"/>
              </w:rPr>
              <w:t>Limitations</w:t>
            </w:r>
          </w:p>
        </w:tc>
        <w:tc>
          <w:tcPr>
            <w:tcW w:type="dxa" w:w="1656"/>
            <w:vAlign w:val="center"/>
            <w:shd w:fill="D9EAF7"/>
          </w:tcPr>
          <w:p>
            <w:r/>
            <w:r>
              <w:rPr>
                <w:rFonts w:ascii="Aptos" w:hAnsi="Aptos"/>
                <w:b/>
                <w:sz w:val="16"/>
              </w:rPr>
              <w:t>Dataset</w:t>
            </w:r>
          </w:p>
        </w:tc>
        <w:tc>
          <w:tcPr>
            <w:tcW w:type="dxa" w:w="1152"/>
            <w:vAlign w:val="center"/>
            <w:shd w:fill="D9EAF7"/>
          </w:tcPr>
          <w:p>
            <w:r/>
            <w:r>
              <w:rPr>
                <w:rFonts w:ascii="Aptos" w:hAnsi="Aptos"/>
                <w:b/>
                <w:sz w:val="16"/>
              </w:rPr>
              <w:t>Paper / Dataset Link</w:t>
            </w:r>
          </w:p>
        </w:tc>
      </w:tr>
      <w:tr>
        <w:tc>
          <w:tcPr>
            <w:tcW w:type="dxa" w:w="504"/>
            <w:vAlign w:val="center"/>
          </w:tcPr>
          <w:p>
            <w:r/>
            <w:r>
              <w:rPr>
                <w:rFonts w:ascii="Aptos" w:hAnsi="Aptos"/>
                <w:b w:val="0"/>
                <w:sz w:val="14"/>
              </w:rPr>
              <w:t>1</w:t>
            </w:r>
          </w:p>
        </w:tc>
        <w:tc>
          <w:tcPr>
            <w:tcW w:type="dxa" w:w="2232"/>
            <w:vAlign w:val="center"/>
          </w:tcPr>
          <w:p>
            <w:r/>
            <w:r>
              <w:rPr>
                <w:rFonts w:ascii="Aptos" w:hAnsi="Aptos"/>
                <w:b w:val="0"/>
                <w:sz w:val="14"/>
              </w:rPr>
              <w:t>Learning Question Classifiers (2002)</w:t>
            </w:r>
          </w:p>
        </w:tc>
        <w:tc>
          <w:tcPr>
            <w:tcW w:type="dxa" w:w="1944"/>
            <w:vAlign w:val="center"/>
          </w:tcPr>
          <w:p>
            <w:r/>
            <w:r>
              <w:rPr>
                <w:rFonts w:ascii="Aptos" w:hAnsi="Aptos"/>
                <w:b w:val="0"/>
                <w:sz w:val="14"/>
              </w:rPr>
              <w:t>Li &amp; Roth</w:t>
            </w:r>
          </w:p>
        </w:tc>
        <w:tc>
          <w:tcPr>
            <w:tcW w:type="dxa" w:w="2880"/>
            <w:vAlign w:val="center"/>
          </w:tcPr>
          <w:p>
            <w:r/>
            <w:r>
              <w:rPr>
                <w:rFonts w:ascii="Aptos" w:hAnsi="Aptos"/>
                <w:b w:val="0"/>
                <w:sz w:val="14"/>
              </w:rPr>
              <w:t>Hierarchical SNoW / feature-based classifier</w:t>
            </w:r>
          </w:p>
        </w:tc>
        <w:tc>
          <w:tcPr>
            <w:tcW w:type="dxa" w:w="2880"/>
            <w:vAlign w:val="center"/>
          </w:tcPr>
          <w:p>
            <w:r/>
            <w:r>
              <w:rPr>
                <w:rFonts w:ascii="Aptos" w:hAnsi="Aptos"/>
                <w:b w:val="0"/>
                <w:sz w:val="14"/>
              </w:rPr>
              <w:t>Established a hierarchical semantic taxonomy for question classification; reported about 91.0% coarse and 84.2% fine performance in later benchmark comparisons.</w:t>
            </w:r>
          </w:p>
        </w:tc>
        <w:tc>
          <w:tcPr>
            <w:tcW w:type="dxa" w:w="1656"/>
            <w:vAlign w:val="center"/>
          </w:tcPr>
          <w:p>
            <w:r/>
            <w:r>
              <w:rPr>
                <w:rFonts w:ascii="Aptos" w:hAnsi="Aptos"/>
                <w:b w:val="0"/>
                <w:sz w:val="14"/>
              </w:rPr>
              <w:t>Depends on engineered lexical/semantic features; limited contextual understanding compared with Transformer models.</w:t>
            </w:r>
          </w:p>
        </w:tc>
        <w:tc>
          <w:tcPr>
            <w:tcW w:type="dxa" w:w="1152"/>
            <w:vAlign w:val="center"/>
          </w:tcPr>
          <w:p>
            <w:r>
              <w:rPr>
                <w:sz w:val="14"/>
              </w:rPr>
            </w:r>
            <w:r>
              <w:rPr>
                <w:rFonts w:ascii="Aptos" w:hAnsi="Aptos"/>
                <w:b w:val="0"/>
                <w:sz w:val="14"/>
              </w:rPr>
              <w:t>TREC-6 / TREC-50</w:t>
            </w:r>
            <w:hyperlink r:id="rId9">
              <w:r>
                <w:rPr>
                  <w:color w:val="0563C1"/>
                  <w:u w:val="single"/>
                </w:rPr>
                <w:t>Open source</w:t>
              </w:r>
            </w:hyperlink>
          </w:p>
        </w:tc>
      </w:tr>
      <w:tr>
        <w:tc>
          <w:tcPr>
            <w:tcW w:type="dxa" w:w="504"/>
            <w:vAlign w:val="center"/>
          </w:tcPr>
          <w:p>
            <w:r/>
            <w:r>
              <w:rPr>
                <w:rFonts w:ascii="Aptos" w:hAnsi="Aptos"/>
                <w:b w:val="0"/>
                <w:sz w:val="14"/>
              </w:rPr>
              <w:t>2</w:t>
            </w:r>
          </w:p>
        </w:tc>
        <w:tc>
          <w:tcPr>
            <w:tcW w:type="dxa" w:w="2232"/>
            <w:vAlign w:val="center"/>
          </w:tcPr>
          <w:p>
            <w:r/>
            <w:r>
              <w:rPr>
                <w:rFonts w:ascii="Aptos" w:hAnsi="Aptos"/>
                <w:b w:val="0"/>
                <w:sz w:val="14"/>
              </w:rPr>
              <w:t>Question Classification using Support Vector Machines (2003)</w:t>
            </w:r>
          </w:p>
        </w:tc>
        <w:tc>
          <w:tcPr>
            <w:tcW w:type="dxa" w:w="1944"/>
            <w:vAlign w:val="center"/>
          </w:tcPr>
          <w:p>
            <w:r/>
            <w:r>
              <w:rPr>
                <w:rFonts w:ascii="Aptos" w:hAnsi="Aptos"/>
                <w:b w:val="0"/>
                <w:sz w:val="14"/>
              </w:rPr>
              <w:t>Zhang &amp; Lee</w:t>
            </w:r>
          </w:p>
        </w:tc>
        <w:tc>
          <w:tcPr>
            <w:tcW w:type="dxa" w:w="2880"/>
            <w:vAlign w:val="center"/>
          </w:tcPr>
          <w:p>
            <w:r/>
            <w:r>
              <w:rPr>
                <w:rFonts w:ascii="Aptos" w:hAnsi="Aptos"/>
                <w:b w:val="0"/>
                <w:sz w:val="14"/>
              </w:rPr>
              <w:t>SVM with bag-of-words/n-grams and tree kernel</w:t>
            </w:r>
          </w:p>
        </w:tc>
        <w:tc>
          <w:tcPr>
            <w:tcW w:type="dxa" w:w="2880"/>
            <w:vAlign w:val="center"/>
          </w:tcPr>
          <w:p>
            <w:r/>
            <w:r>
              <w:rPr>
                <w:rFonts w:ascii="Aptos" w:hAnsi="Aptos"/>
                <w:b w:val="0"/>
                <w:sz w:val="14"/>
              </w:rPr>
              <w:t>SVM outperformed the other tested classical methods using surface-text features; tree kernels incorporated syntactic structure.</w:t>
            </w:r>
          </w:p>
        </w:tc>
        <w:tc>
          <w:tcPr>
            <w:tcW w:type="dxa" w:w="1656"/>
            <w:vAlign w:val="center"/>
          </w:tcPr>
          <w:p>
            <w:r/>
            <w:r>
              <w:rPr>
                <w:rFonts w:ascii="Aptos" w:hAnsi="Aptos"/>
                <w:b w:val="0"/>
                <w:sz w:val="14"/>
              </w:rPr>
              <w:t>Requires feature engineering and syntactic processing; does not provide deep contextual representations.</w:t>
            </w:r>
          </w:p>
        </w:tc>
        <w:tc>
          <w:tcPr>
            <w:tcW w:type="dxa" w:w="1152"/>
            <w:vAlign w:val="center"/>
          </w:tcPr>
          <w:p>
            <w:r>
              <w:rPr>
                <w:sz w:val="14"/>
              </w:rPr>
            </w:r>
            <w:r>
              <w:rPr>
                <w:rFonts w:ascii="Aptos" w:hAnsi="Aptos"/>
                <w:b w:val="0"/>
                <w:sz w:val="14"/>
              </w:rPr>
              <w:t>TREC question-classification data</w:t>
            </w:r>
            <w:hyperlink r:id="rId10">
              <w:r>
                <w:rPr>
                  <w:color w:val="0563C1"/>
                  <w:u w:val="single"/>
                </w:rPr>
                <w:t>Open source</w:t>
              </w:r>
            </w:hyperlink>
          </w:p>
        </w:tc>
      </w:tr>
      <w:tr>
        <w:tc>
          <w:tcPr>
            <w:tcW w:type="dxa" w:w="504"/>
            <w:vAlign w:val="center"/>
          </w:tcPr>
          <w:p>
            <w:r/>
            <w:r>
              <w:rPr>
                <w:rFonts w:ascii="Aptos" w:hAnsi="Aptos"/>
                <w:b w:val="0"/>
                <w:sz w:val="14"/>
              </w:rPr>
              <w:t>3</w:t>
            </w:r>
          </w:p>
        </w:tc>
        <w:tc>
          <w:tcPr>
            <w:tcW w:type="dxa" w:w="2232"/>
            <w:vAlign w:val="center"/>
          </w:tcPr>
          <w:p>
            <w:r/>
            <w:r>
              <w:rPr>
                <w:rFonts w:ascii="Aptos" w:hAnsi="Aptos"/>
                <w:b w:val="0"/>
                <w:sz w:val="14"/>
              </w:rPr>
              <w:t>Convolutional Neural Networks for Sentence Classification (2014)</w:t>
            </w:r>
          </w:p>
        </w:tc>
        <w:tc>
          <w:tcPr>
            <w:tcW w:type="dxa" w:w="1944"/>
            <w:vAlign w:val="center"/>
          </w:tcPr>
          <w:p>
            <w:r/>
            <w:r>
              <w:rPr>
                <w:rFonts w:ascii="Aptos" w:hAnsi="Aptos"/>
                <w:b w:val="0"/>
                <w:sz w:val="14"/>
              </w:rPr>
              <w:t>Yoon Kim</w:t>
            </w:r>
          </w:p>
        </w:tc>
        <w:tc>
          <w:tcPr>
            <w:tcW w:type="dxa" w:w="2880"/>
            <w:vAlign w:val="center"/>
          </w:tcPr>
          <w:p>
            <w:r/>
            <w:r>
              <w:rPr>
                <w:rFonts w:ascii="Aptos" w:hAnsi="Aptos"/>
                <w:b w:val="0"/>
                <w:sz w:val="14"/>
              </w:rPr>
              <w:t>CNN with pre-trained word vectors</w:t>
            </w:r>
          </w:p>
        </w:tc>
        <w:tc>
          <w:tcPr>
            <w:tcW w:type="dxa" w:w="2880"/>
            <w:vAlign w:val="center"/>
          </w:tcPr>
          <w:p>
            <w:r/>
            <w:r>
              <w:rPr>
                <w:rFonts w:ascii="Aptos" w:hAnsi="Aptos"/>
                <w:b w:val="0"/>
                <w:sz w:val="14"/>
              </w:rPr>
              <w:t>A simple CNN achieved strong sentence-classification results and reported 95.0% on TREC in the presented experiments.</w:t>
            </w:r>
          </w:p>
        </w:tc>
        <w:tc>
          <w:tcPr>
            <w:tcW w:type="dxa" w:w="1656"/>
            <w:vAlign w:val="center"/>
          </w:tcPr>
          <w:p>
            <w:r/>
            <w:r>
              <w:rPr>
                <w:rFonts w:ascii="Aptos" w:hAnsi="Aptos"/>
                <w:b w:val="0"/>
                <w:sz w:val="14"/>
              </w:rPr>
              <w:t>CNN focuses on local patterns and does not model contextual word meaning as directly as BERT.</w:t>
            </w:r>
          </w:p>
        </w:tc>
        <w:tc>
          <w:tcPr>
            <w:tcW w:type="dxa" w:w="1152"/>
            <w:vAlign w:val="center"/>
          </w:tcPr>
          <w:p>
            <w:r>
              <w:rPr>
                <w:sz w:val="14"/>
              </w:rPr>
            </w:r>
            <w:r>
              <w:rPr>
                <w:rFonts w:ascii="Aptos" w:hAnsi="Aptos"/>
                <w:b w:val="0"/>
                <w:sz w:val="14"/>
              </w:rPr>
              <w:t>TREC + other sentence-classification datasets</w:t>
            </w:r>
            <w:hyperlink r:id="rId11">
              <w:r>
                <w:rPr>
                  <w:color w:val="0563C1"/>
                  <w:u w:val="single"/>
                </w:rPr>
                <w:t>Open source</w:t>
              </w:r>
            </w:hyperlink>
          </w:p>
        </w:tc>
      </w:tr>
      <w:tr>
        <w:tc>
          <w:tcPr>
            <w:tcW w:type="dxa" w:w="504"/>
            <w:vAlign w:val="center"/>
          </w:tcPr>
          <w:p>
            <w:r/>
            <w:r>
              <w:rPr>
                <w:rFonts w:ascii="Aptos" w:hAnsi="Aptos"/>
                <w:b w:val="0"/>
                <w:sz w:val="14"/>
              </w:rPr>
              <w:t>4</w:t>
            </w:r>
          </w:p>
        </w:tc>
        <w:tc>
          <w:tcPr>
            <w:tcW w:type="dxa" w:w="2232"/>
            <w:vAlign w:val="center"/>
          </w:tcPr>
          <w:p>
            <w:r/>
            <w:r>
              <w:rPr>
                <w:rFonts w:ascii="Aptos" w:hAnsi="Aptos"/>
                <w:b w:val="0"/>
                <w:sz w:val="14"/>
              </w:rPr>
              <w:t>Dependency-based Convolutional Neural Networks for Sentence Embedding (2015)</w:t>
            </w:r>
          </w:p>
        </w:tc>
        <w:tc>
          <w:tcPr>
            <w:tcW w:type="dxa" w:w="1944"/>
            <w:vAlign w:val="center"/>
          </w:tcPr>
          <w:p>
            <w:r/>
            <w:r>
              <w:rPr>
                <w:rFonts w:ascii="Aptos" w:hAnsi="Aptos"/>
                <w:b w:val="0"/>
                <w:sz w:val="14"/>
              </w:rPr>
              <w:t>Ma et al.</w:t>
            </w:r>
          </w:p>
        </w:tc>
        <w:tc>
          <w:tcPr>
            <w:tcW w:type="dxa" w:w="2880"/>
            <w:vAlign w:val="center"/>
          </w:tcPr>
          <w:p>
            <w:r/>
            <w:r>
              <w:rPr>
                <w:rFonts w:ascii="Aptos" w:hAnsi="Aptos"/>
                <w:b w:val="0"/>
                <w:sz w:val="14"/>
              </w:rPr>
              <w:t>Dependency-based CNN / tree convolution</w:t>
            </w:r>
          </w:p>
        </w:tc>
        <w:tc>
          <w:tcPr>
            <w:tcW w:type="dxa" w:w="2880"/>
            <w:vAlign w:val="center"/>
          </w:tcPr>
          <w:p>
            <w:r/>
            <w:r>
              <w:rPr>
                <w:rFonts w:ascii="Aptos" w:hAnsi="Aptos"/>
                <w:b w:val="0"/>
                <w:sz w:val="14"/>
              </w:rPr>
              <w:t>Improved sequential CNN baselines and achieved the highest published accuracy on TREC at the time; reported about 95.6% in benchmark comparisons.</w:t>
            </w:r>
          </w:p>
        </w:tc>
        <w:tc>
          <w:tcPr>
            <w:tcW w:type="dxa" w:w="1656"/>
            <w:vAlign w:val="center"/>
          </w:tcPr>
          <w:p>
            <w:r/>
            <w:r>
              <w:rPr>
                <w:rFonts w:ascii="Aptos" w:hAnsi="Aptos"/>
                <w:b w:val="0"/>
                <w:sz w:val="14"/>
              </w:rPr>
              <w:t>Requires dependency parsing and added structural complexity; still less context-aware than modern pretrained Transformers.</w:t>
            </w:r>
          </w:p>
        </w:tc>
        <w:tc>
          <w:tcPr>
            <w:tcW w:type="dxa" w:w="1152"/>
            <w:vAlign w:val="center"/>
          </w:tcPr>
          <w:p>
            <w:r>
              <w:rPr>
                <w:sz w:val="14"/>
              </w:rPr>
            </w:r>
            <w:r>
              <w:rPr>
                <w:rFonts w:ascii="Aptos" w:hAnsi="Aptos"/>
                <w:b w:val="0"/>
                <w:sz w:val="14"/>
              </w:rPr>
              <w:t>TREC</w:t>
            </w:r>
            <w:hyperlink r:id="rId12">
              <w:r>
                <w:rPr>
                  <w:color w:val="0563C1"/>
                  <w:u w:val="single"/>
                </w:rPr>
                <w:t>Open source</w:t>
              </w:r>
            </w:hyperlink>
          </w:p>
        </w:tc>
      </w:tr>
      <w:tr>
        <w:tc>
          <w:tcPr>
            <w:tcW w:type="dxa" w:w="504"/>
            <w:vAlign w:val="center"/>
          </w:tcPr>
          <w:p>
            <w:r/>
            <w:r>
              <w:rPr>
                <w:rFonts w:ascii="Aptos" w:hAnsi="Aptos"/>
                <w:b w:val="0"/>
                <w:sz w:val="14"/>
              </w:rPr>
              <w:t>5</w:t>
            </w:r>
          </w:p>
        </w:tc>
        <w:tc>
          <w:tcPr>
            <w:tcW w:type="dxa" w:w="2232"/>
            <w:vAlign w:val="center"/>
          </w:tcPr>
          <w:p>
            <w:r/>
            <w:r>
              <w:rPr>
                <w:rFonts w:ascii="Aptos" w:hAnsi="Aptos"/>
                <w:b w:val="0"/>
                <w:sz w:val="14"/>
              </w:rPr>
              <w:t>Improving Question Classification by Feature Extraction and Selection (2016)</w:t>
            </w:r>
          </w:p>
        </w:tc>
        <w:tc>
          <w:tcPr>
            <w:tcW w:type="dxa" w:w="1944"/>
            <w:vAlign w:val="center"/>
          </w:tcPr>
          <w:p>
            <w:r/>
            <w:r>
              <w:rPr>
                <w:rFonts w:ascii="Aptos" w:hAnsi="Aptos"/>
                <w:b w:val="0"/>
                <w:sz w:val="14"/>
              </w:rPr>
              <w:t>Nguyen Van-Tu &amp; Le Anh-Cuong</w:t>
            </w:r>
          </w:p>
        </w:tc>
        <w:tc>
          <w:tcPr>
            <w:tcW w:type="dxa" w:w="2880"/>
            <w:vAlign w:val="center"/>
          </w:tcPr>
          <w:p>
            <w:r/>
            <w:r>
              <w:rPr>
                <w:rFonts w:ascii="Aptos" w:hAnsi="Aptos"/>
                <w:b w:val="0"/>
                <w:sz w:val="14"/>
              </w:rPr>
              <w:t>SVM + feature selection + question-pattern features</w:t>
            </w:r>
          </w:p>
        </w:tc>
        <w:tc>
          <w:tcPr>
            <w:tcW w:type="dxa" w:w="2880"/>
            <w:vAlign w:val="center"/>
          </w:tcPr>
          <w:p>
            <w:r/>
            <w:r>
              <w:rPr>
                <w:rFonts w:ascii="Aptos" w:hAnsi="Aptos"/>
                <w:b w:val="0"/>
                <w:sz w:val="14"/>
              </w:rPr>
              <w:t>Reported 95.2% coarse-grained and 91.6% fine-grained accuracy on TREC.</w:t>
            </w:r>
          </w:p>
        </w:tc>
        <w:tc>
          <w:tcPr>
            <w:tcW w:type="dxa" w:w="1656"/>
            <w:vAlign w:val="center"/>
          </w:tcPr>
          <w:p>
            <w:r/>
            <w:r>
              <w:rPr>
                <w:rFonts w:ascii="Aptos" w:hAnsi="Aptos"/>
                <w:b w:val="0"/>
                <w:sz w:val="14"/>
              </w:rPr>
              <w:t>Strong dependence on manually selected lexical, syntactic, and question-pattern features; feature engineering may not generalize well.</w:t>
            </w:r>
          </w:p>
        </w:tc>
        <w:tc>
          <w:tcPr>
            <w:tcW w:type="dxa" w:w="1152"/>
            <w:vAlign w:val="center"/>
          </w:tcPr>
          <w:p>
            <w:r>
              <w:rPr>
                <w:sz w:val="14"/>
              </w:rPr>
            </w:r>
            <w:r>
              <w:rPr>
                <w:rFonts w:ascii="Aptos" w:hAnsi="Aptos"/>
                <w:b w:val="0"/>
                <w:sz w:val="14"/>
              </w:rPr>
              <w:t>TREC</w:t>
            </w:r>
            <w:hyperlink r:id="rId13">
              <w:r>
                <w:rPr>
                  <w:color w:val="0563C1"/>
                  <w:u w:val="single"/>
                </w:rPr>
                <w:t>Open source</w:t>
              </w:r>
            </w:hyperlink>
          </w:p>
        </w:tc>
      </w:tr>
      <w:tr>
        <w:tc>
          <w:tcPr>
            <w:tcW w:type="dxa" w:w="504"/>
            <w:vAlign w:val="center"/>
          </w:tcPr>
          <w:p>
            <w:r/>
            <w:r>
              <w:rPr>
                <w:rFonts w:ascii="Aptos" w:hAnsi="Aptos"/>
                <w:b w:val="0"/>
                <w:sz w:val="14"/>
              </w:rPr>
              <w:t>6</w:t>
            </w:r>
          </w:p>
        </w:tc>
        <w:tc>
          <w:tcPr>
            <w:tcW w:type="dxa" w:w="2232"/>
            <w:vAlign w:val="center"/>
          </w:tcPr>
          <w:p>
            <w:r/>
            <w:r>
              <w:rPr>
                <w:rFonts w:ascii="Aptos" w:hAnsi="Aptos"/>
                <w:b w:val="0"/>
                <w:sz w:val="14"/>
              </w:rPr>
              <w:t>High Accuracy Rule-based Question Classification using Question Syntax and Semantics (2016)</w:t>
            </w:r>
          </w:p>
        </w:tc>
        <w:tc>
          <w:tcPr>
            <w:tcW w:type="dxa" w:w="1944"/>
            <w:vAlign w:val="center"/>
          </w:tcPr>
          <w:p>
            <w:r/>
            <w:r>
              <w:rPr>
                <w:rFonts w:ascii="Aptos" w:hAnsi="Aptos"/>
                <w:b w:val="0"/>
                <w:sz w:val="14"/>
              </w:rPr>
              <w:t>Madabushi &amp; Lee</w:t>
            </w:r>
          </w:p>
        </w:tc>
        <w:tc>
          <w:tcPr>
            <w:tcW w:type="dxa" w:w="2880"/>
            <w:vAlign w:val="center"/>
          </w:tcPr>
          <w:p>
            <w:r/>
            <w:r>
              <w:rPr>
                <w:rFonts w:ascii="Aptos" w:hAnsi="Aptos"/>
                <w:b w:val="0"/>
                <w:sz w:val="14"/>
              </w:rPr>
              <w:t>Rule-based syntax and semantic concepts</w:t>
            </w:r>
          </w:p>
        </w:tc>
        <w:tc>
          <w:tcPr>
            <w:tcW w:type="dxa" w:w="2880"/>
            <w:vAlign w:val="center"/>
          </w:tcPr>
          <w:p>
            <w:r/>
            <w:r>
              <w:rPr>
                <w:rFonts w:ascii="Aptos" w:hAnsi="Aptos"/>
                <w:b w:val="0"/>
                <w:sz w:val="14"/>
              </w:rPr>
              <w:t>Achieved 97.2% accuracy on TREC-50 and improved substantially over the previous reported learned baseline.</w:t>
            </w:r>
          </w:p>
        </w:tc>
        <w:tc>
          <w:tcPr>
            <w:tcW w:type="dxa" w:w="1656"/>
            <w:vAlign w:val="center"/>
          </w:tcPr>
          <w:p>
            <w:r/>
            <w:r>
              <w:rPr>
                <w:rFonts w:ascii="Aptos" w:hAnsi="Aptos"/>
                <w:b w:val="0"/>
                <w:sz w:val="14"/>
              </w:rPr>
              <w:t>Rules are difficult to maintain and may not generalize to unseen wording, domains, or languages.</w:t>
            </w:r>
          </w:p>
        </w:tc>
        <w:tc>
          <w:tcPr>
            <w:tcW w:type="dxa" w:w="1152"/>
            <w:vAlign w:val="center"/>
          </w:tcPr>
          <w:p>
            <w:r>
              <w:rPr>
                <w:sz w:val="14"/>
              </w:rPr>
            </w:r>
            <w:r>
              <w:rPr>
                <w:rFonts w:ascii="Aptos" w:hAnsi="Aptos"/>
                <w:b w:val="0"/>
                <w:sz w:val="14"/>
              </w:rPr>
              <w:t>TREC-50</w:t>
            </w:r>
            <w:hyperlink r:id="rId14">
              <w:r>
                <w:rPr>
                  <w:color w:val="0563C1"/>
                  <w:u w:val="single"/>
                </w:rPr>
                <w:t>Open source</w:t>
              </w:r>
            </w:hyperlink>
          </w:p>
        </w:tc>
      </w:tr>
      <w:tr>
        <w:tc>
          <w:tcPr>
            <w:tcW w:type="dxa" w:w="504"/>
            <w:vAlign w:val="center"/>
          </w:tcPr>
          <w:p>
            <w:r/>
            <w:r>
              <w:rPr>
                <w:rFonts w:ascii="Aptos" w:hAnsi="Aptos"/>
                <w:b w:val="0"/>
                <w:sz w:val="14"/>
              </w:rPr>
              <w:t>7</w:t>
            </w:r>
          </w:p>
        </w:tc>
        <w:tc>
          <w:tcPr>
            <w:tcW w:type="dxa" w:w="2232"/>
            <w:vAlign w:val="center"/>
          </w:tcPr>
          <w:p>
            <w:r/>
            <w:r>
              <w:rPr>
                <w:rFonts w:ascii="Aptos" w:hAnsi="Aptos"/>
                <w:b w:val="0"/>
                <w:sz w:val="14"/>
              </w:rPr>
              <w:t>Multi-class Hierarchical Question Classification for Multiple Choice Science Exams (2020)</w:t>
            </w:r>
          </w:p>
        </w:tc>
        <w:tc>
          <w:tcPr>
            <w:tcW w:type="dxa" w:w="1944"/>
            <w:vAlign w:val="center"/>
          </w:tcPr>
          <w:p>
            <w:r/>
            <w:r>
              <w:rPr>
                <w:rFonts w:ascii="Aptos" w:hAnsi="Aptos"/>
                <w:b w:val="0"/>
                <w:sz w:val="14"/>
              </w:rPr>
              <w:t>Xu et al.</w:t>
            </w:r>
          </w:p>
        </w:tc>
        <w:tc>
          <w:tcPr>
            <w:tcW w:type="dxa" w:w="2880"/>
            <w:vAlign w:val="center"/>
          </w:tcPr>
          <w:p>
            <w:r/>
            <w:r>
              <w:rPr>
                <w:rFonts w:ascii="Aptos" w:hAnsi="Aptos"/>
                <w:b w:val="0"/>
                <w:sz w:val="14"/>
              </w:rPr>
              <w:t>BERT-QC</w:t>
            </w:r>
          </w:p>
        </w:tc>
        <w:tc>
          <w:tcPr>
            <w:tcW w:type="dxa" w:w="2880"/>
            <w:vAlign w:val="center"/>
          </w:tcPr>
          <w:p>
            <w:r/>
            <w:r>
              <w:rPr>
                <w:rFonts w:ascii="Aptos" w:hAnsi="Aptos"/>
                <w:b w:val="0"/>
                <w:sz w:val="14"/>
              </w:rPr>
              <w:t>BERT-QC achieved 96.2% on TREC-6 and 92.0% on TREC-50, while also improving science-question classification and downstream QA.</w:t>
            </w:r>
          </w:p>
        </w:tc>
        <w:tc>
          <w:tcPr>
            <w:tcW w:type="dxa" w:w="1656"/>
            <w:vAlign w:val="center"/>
          </w:tcPr>
          <w:p>
            <w:r/>
            <w:r>
              <w:rPr>
                <w:rFonts w:ascii="Aptos" w:hAnsi="Aptos"/>
                <w:b w:val="0"/>
                <w:sz w:val="14"/>
              </w:rPr>
              <w:t>BERT-QC is computationally heavier than small classical models and the study also highlights transfer/generalization challenges across datasets.</w:t>
            </w:r>
          </w:p>
        </w:tc>
        <w:tc>
          <w:tcPr>
            <w:tcW w:type="dxa" w:w="1152"/>
            <w:vAlign w:val="center"/>
          </w:tcPr>
          <w:p>
            <w:r>
              <w:rPr>
                <w:sz w:val="14"/>
              </w:rPr>
            </w:r>
            <w:r>
              <w:rPr>
                <w:rFonts w:ascii="Aptos" w:hAnsi="Aptos"/>
                <w:b w:val="0"/>
                <w:sz w:val="14"/>
              </w:rPr>
              <w:t>ARC (7,787 questions), TREC, GARD, MLBioMedLAT</w:t>
            </w:r>
            <w:hyperlink r:id="rId15">
              <w:r>
                <w:rPr>
                  <w:color w:val="0563C1"/>
                  <w:u w:val="single"/>
                </w:rPr>
                <w:t>Open source</w:t>
              </w:r>
            </w:hyperlink>
          </w:p>
        </w:tc>
      </w:tr>
      <w:tr>
        <w:tc>
          <w:tcPr>
            <w:tcW w:type="dxa" w:w="504"/>
            <w:vAlign w:val="center"/>
          </w:tcPr>
          <w:p>
            <w:r/>
            <w:r>
              <w:rPr>
                <w:rFonts w:ascii="Aptos" w:hAnsi="Aptos"/>
                <w:b w:val="0"/>
                <w:sz w:val="14"/>
              </w:rPr>
              <w:t>8</w:t>
            </w:r>
          </w:p>
        </w:tc>
        <w:tc>
          <w:tcPr>
            <w:tcW w:type="dxa" w:w="2232"/>
            <w:vAlign w:val="center"/>
          </w:tcPr>
          <w:p>
            <w:r/>
            <w:r>
              <w:rPr>
                <w:rFonts w:ascii="Aptos" w:hAnsi="Aptos"/>
                <w:b w:val="0"/>
                <w:sz w:val="14"/>
              </w:rPr>
              <w:t>Question Classification Using Limited Labelled Data (2022)</w:t>
            </w:r>
          </w:p>
        </w:tc>
        <w:tc>
          <w:tcPr>
            <w:tcW w:type="dxa" w:w="1944"/>
            <w:vAlign w:val="center"/>
          </w:tcPr>
          <w:p>
            <w:r/>
            <w:r>
              <w:rPr>
                <w:rFonts w:ascii="Aptos" w:hAnsi="Aptos"/>
                <w:b w:val="0"/>
                <w:sz w:val="14"/>
              </w:rPr>
              <w:t>Mallikarjuna &amp; Sivanesan</w:t>
            </w:r>
          </w:p>
        </w:tc>
        <w:tc>
          <w:tcPr>
            <w:tcW w:type="dxa" w:w="2880"/>
            <w:vAlign w:val="center"/>
          </w:tcPr>
          <w:p>
            <w:r/>
            <w:r>
              <w:rPr>
                <w:rFonts w:ascii="Aptos" w:hAnsi="Aptos"/>
                <w:b w:val="0"/>
                <w:sz w:val="14"/>
              </w:rPr>
              <w:t>Data augmentation + BERT/RoBERTa/DeBERTa</w:t>
            </w:r>
          </w:p>
        </w:tc>
        <w:tc>
          <w:tcPr>
            <w:tcW w:type="dxa" w:w="2880"/>
            <w:vAlign w:val="center"/>
          </w:tcPr>
          <w:p>
            <w:r/>
            <w:r>
              <w:rPr>
                <w:rFonts w:ascii="Aptos" w:hAnsi="Aptos"/>
                <w:b w:val="0"/>
                <w:sz w:val="14"/>
              </w:rPr>
              <w:t>Data augmentation with AEDA, back-translation, and T5 paraphrasing achieved 98.11% accuracy on TREC with limited labeled data.</w:t>
            </w:r>
          </w:p>
        </w:tc>
        <w:tc>
          <w:tcPr>
            <w:tcW w:type="dxa" w:w="1656"/>
            <w:vAlign w:val="center"/>
          </w:tcPr>
          <w:p>
            <w:r/>
            <w:r>
              <w:rPr>
                <w:rFonts w:ascii="Aptos" w:hAnsi="Aptos"/>
                <w:b w:val="0"/>
                <w:sz w:val="14"/>
              </w:rPr>
              <w:t>Augmentation adds preprocessing complexity and generated examples may introduce noise or unrealistic wording.</w:t>
            </w:r>
          </w:p>
        </w:tc>
        <w:tc>
          <w:tcPr>
            <w:tcW w:type="dxa" w:w="1152"/>
            <w:vAlign w:val="center"/>
          </w:tcPr>
          <w:p>
            <w:r>
              <w:rPr>
                <w:sz w:val="14"/>
              </w:rPr>
            </w:r>
            <w:r>
              <w:rPr>
                <w:rFonts w:ascii="Aptos" w:hAnsi="Aptos"/>
                <w:b w:val="0"/>
                <w:sz w:val="14"/>
              </w:rPr>
              <w:t>TREC and ICHI</w:t>
            </w:r>
            <w:hyperlink r:id="rId16">
              <w:r>
                <w:rPr>
                  <w:color w:val="0563C1"/>
                  <w:u w:val="single"/>
                </w:rPr>
                <w:t>Open source</w:t>
              </w:r>
            </w:hyperlink>
          </w:p>
        </w:tc>
      </w:tr>
      <w:tr>
        <w:tc>
          <w:tcPr>
            <w:tcW w:type="dxa" w:w="504"/>
            <w:vAlign w:val="center"/>
          </w:tcPr>
          <w:p>
            <w:r/>
            <w:r>
              <w:rPr>
                <w:rFonts w:ascii="Aptos" w:hAnsi="Aptos"/>
                <w:b w:val="0"/>
                <w:sz w:val="14"/>
              </w:rPr>
              <w:t>9</w:t>
            </w:r>
          </w:p>
        </w:tc>
        <w:tc>
          <w:tcPr>
            <w:tcW w:type="dxa" w:w="2232"/>
            <w:vAlign w:val="center"/>
          </w:tcPr>
          <w:p>
            <w:r/>
            <w:r>
              <w:rPr>
                <w:rFonts w:ascii="Aptos" w:hAnsi="Aptos"/>
                <w:b w:val="0"/>
                <w:sz w:val="14"/>
              </w:rPr>
              <w:t>Attention-Based Transformer-BiGRU for Question Classification (2022)</w:t>
            </w:r>
          </w:p>
        </w:tc>
        <w:tc>
          <w:tcPr>
            <w:tcW w:type="dxa" w:w="1944"/>
            <w:vAlign w:val="center"/>
          </w:tcPr>
          <w:p>
            <w:r/>
            <w:r>
              <w:rPr>
                <w:rFonts w:ascii="Aptos" w:hAnsi="Aptos"/>
                <w:b w:val="0"/>
                <w:sz w:val="14"/>
              </w:rPr>
              <w:t>Research study</w:t>
            </w:r>
          </w:p>
        </w:tc>
        <w:tc>
          <w:tcPr>
            <w:tcW w:type="dxa" w:w="2880"/>
            <w:vAlign w:val="center"/>
          </w:tcPr>
          <w:p>
            <w:r/>
            <w:r>
              <w:rPr>
                <w:rFonts w:ascii="Aptos" w:hAnsi="Aptos"/>
                <w:b w:val="0"/>
                <w:sz w:val="14"/>
              </w:rPr>
              <w:t>Transformer + BiGRU + attention</w:t>
            </w:r>
          </w:p>
        </w:tc>
        <w:tc>
          <w:tcPr>
            <w:tcW w:type="dxa" w:w="2880"/>
            <w:vAlign w:val="center"/>
          </w:tcPr>
          <w:p>
            <w:r/>
            <w:r>
              <w:rPr>
                <w:rFonts w:ascii="Aptos" w:hAnsi="Aptos"/>
                <w:b w:val="0"/>
                <w:sz w:val="14"/>
              </w:rPr>
              <w:t>Reported improvements across English and Chinese question-classification datasets; category-level analysis showed Transformer strengths for several TREC classes.</w:t>
            </w:r>
          </w:p>
        </w:tc>
        <w:tc>
          <w:tcPr>
            <w:tcW w:type="dxa" w:w="1656"/>
            <w:vAlign w:val="center"/>
          </w:tcPr>
          <w:p>
            <w:r/>
            <w:r>
              <w:rPr>
                <w:rFonts w:ascii="Aptos" w:hAnsi="Aptos"/>
                <w:b w:val="0"/>
                <w:sz w:val="14"/>
              </w:rPr>
              <w:t>Hybrid architecture is more complex than a direct fine-tuned BERT classifier and increases implementation/training complexity.</w:t>
            </w:r>
          </w:p>
        </w:tc>
        <w:tc>
          <w:tcPr>
            <w:tcW w:type="dxa" w:w="1152"/>
            <w:vAlign w:val="center"/>
          </w:tcPr>
          <w:p>
            <w:r>
              <w:rPr>
                <w:sz w:val="14"/>
              </w:rPr>
            </w:r>
            <w:r>
              <w:rPr>
                <w:rFonts w:ascii="Aptos" w:hAnsi="Aptos"/>
                <w:b w:val="0"/>
                <w:sz w:val="14"/>
              </w:rPr>
              <w:t>TREC and Chinese question datasets</w:t>
            </w:r>
            <w:hyperlink r:id="rId17">
              <w:r>
                <w:rPr>
                  <w:color w:val="0563C1"/>
                  <w:u w:val="single"/>
                </w:rPr>
                <w:t>Open source</w:t>
              </w:r>
            </w:hyperlink>
          </w:p>
        </w:tc>
      </w:tr>
      <w:tr>
        <w:tc>
          <w:tcPr>
            <w:tcW w:type="dxa" w:w="504"/>
            <w:vAlign w:val="center"/>
          </w:tcPr>
          <w:p>
            <w:r/>
            <w:r>
              <w:rPr>
                <w:rFonts w:ascii="Aptos" w:hAnsi="Aptos"/>
                <w:b w:val="0"/>
                <w:sz w:val="14"/>
              </w:rPr>
              <w:t>10</w:t>
            </w:r>
          </w:p>
        </w:tc>
        <w:tc>
          <w:tcPr>
            <w:tcW w:type="dxa" w:w="2232"/>
            <w:vAlign w:val="center"/>
          </w:tcPr>
          <w:p>
            <w:r/>
            <w:r>
              <w:rPr>
                <w:rFonts w:ascii="Aptos" w:hAnsi="Aptos"/>
                <w:b w:val="0"/>
                <w:sz w:val="14"/>
              </w:rPr>
              <w:t>An Ensemble Approach to Question Classification: Integrating Electra Transformer, GloVe, and LSTM (2023)</w:t>
            </w:r>
          </w:p>
        </w:tc>
        <w:tc>
          <w:tcPr>
            <w:tcW w:type="dxa" w:w="1944"/>
            <w:vAlign w:val="center"/>
          </w:tcPr>
          <w:p>
            <w:r/>
            <w:r>
              <w:rPr>
                <w:rFonts w:ascii="Aptos" w:hAnsi="Aptos"/>
                <w:b w:val="0"/>
                <w:sz w:val="14"/>
              </w:rPr>
              <w:t>Aburass, Dorgham &amp; Abu Rumman</w:t>
            </w:r>
          </w:p>
        </w:tc>
        <w:tc>
          <w:tcPr>
            <w:tcW w:type="dxa" w:w="2880"/>
            <w:vAlign w:val="center"/>
          </w:tcPr>
          <w:p>
            <w:r/>
            <w:r>
              <w:rPr>
                <w:rFonts w:ascii="Aptos" w:hAnsi="Aptos"/>
                <w:b w:val="0"/>
                <w:sz w:val="14"/>
              </w:rPr>
              <w:t>ELECTRA + GloVe + LSTM ensemble</w:t>
            </w:r>
          </w:p>
        </w:tc>
        <w:tc>
          <w:tcPr>
            <w:tcW w:type="dxa" w:w="2880"/>
            <w:vAlign w:val="center"/>
          </w:tcPr>
          <w:p>
            <w:r/>
            <w:r>
              <w:rPr>
                <w:rFonts w:ascii="Aptos" w:hAnsi="Aptos"/>
                <w:b w:val="0"/>
                <w:sz w:val="14"/>
              </w:rPr>
              <w:t>Reported 80% accuracy on the TREC test dataset and compared the ensemble against BERT, RoBERTa, and DistilBERT.</w:t>
            </w:r>
          </w:p>
        </w:tc>
        <w:tc>
          <w:tcPr>
            <w:tcW w:type="dxa" w:w="1656"/>
            <w:vAlign w:val="center"/>
          </w:tcPr>
          <w:p>
            <w:r/>
            <w:r>
              <w:rPr>
                <w:rFonts w:ascii="Aptos" w:hAnsi="Aptos"/>
                <w:b w:val="0"/>
                <w:sz w:val="14"/>
              </w:rPr>
              <w:t>Combines multiple models, increasing implementation complexity and computational cost; ensemble design may be unnecessary for a lightweight student application.</w:t>
            </w:r>
          </w:p>
        </w:tc>
        <w:tc>
          <w:tcPr>
            <w:tcW w:type="dxa" w:w="1152"/>
            <w:vAlign w:val="center"/>
          </w:tcPr>
          <w:p>
            <w:r>
              <w:rPr>
                <w:sz w:val="14"/>
              </w:rPr>
            </w:r>
            <w:r>
              <w:rPr>
                <w:rFonts w:ascii="Aptos" w:hAnsi="Aptos"/>
                <w:b w:val="0"/>
                <w:sz w:val="14"/>
              </w:rPr>
              <w:t>TREC</w:t>
            </w:r>
            <w:hyperlink r:id="rId18">
              <w:r>
                <w:rPr>
                  <w:color w:val="0563C1"/>
                  <w:u w:val="single"/>
                </w:rPr>
                <w:t>Open source</w:t>
              </w:r>
            </w:hyperlink>
          </w:p>
        </w:tc>
      </w:tr>
    </w:tbl>
    <w:p/>
    <w:p>
      <w:r>
        <w:rPr>
          <w:b/>
        </w:rPr>
        <w:t xml:space="preserve">Dataset reference: </w:t>
      </w:r>
      <w:hyperlink r:id="rId19">
        <w:r>
          <w:rPr>
            <w:color w:val="0563C1"/>
            <w:u w:val="single"/>
          </w:rPr>
          <w:t>Official TREC dataset documentation</w:t>
        </w:r>
      </w:hyperlink>
      <w:r>
        <w:t xml:space="preserve">  |  </w:t>
      </w:r>
      <w:hyperlink r:id="rId20">
        <w:r>
          <w:rPr>
            <w:color w:val="0563C1"/>
            <w:u w:val="single"/>
          </w:rPr>
          <w:t>Original Li &amp; Roth question-classification resources</w:t>
        </w:r>
      </w:hyperlink>
    </w:p>
    <w:p>
      <w:pPr>
        <w:sectPr>
          <w:pgSz w:w="15840" w:h="12240" w:orient="landscape"/>
          <w:pgMar w:top="648" w:right="648" w:bottom="648" w:left="648" w:header="720" w:footer="720" w:gutter="0"/>
          <w:cols w:space="720"/>
          <w:docGrid w:linePitch="360"/>
        </w:sectPr>
      </w:pPr>
    </w:p>
    <w:p>
      <w:pPr>
        <w:pStyle w:val="Heading1"/>
      </w:pPr>
      <w:r>
        <w:t>5. Research Gap Identification</w:t>
      </w:r>
    </w:p>
    <w:p>
      <w:r>
        <w:t>From the literature survey, the following research gaps were identified:</w:t>
      </w:r>
    </w:p>
    <w:p>
      <w:pPr>
        <w:pStyle w:val="ListBullet"/>
        <w:spacing w:after="60"/>
      </w:pPr>
      <w:r>
        <w:t>Traditional SVM, rule-based, TF-IDF, and feature-engineering approaches depend heavily on manually designed features and rules.</w:t>
      </w:r>
    </w:p>
    <w:p>
      <w:pPr>
        <w:pStyle w:val="ListBullet"/>
        <w:spacing w:after="60"/>
      </w:pPr>
      <w:r>
        <w:t>CNN-based methods capture useful local patterns but have limitations in representing the full contextual relationship between words.</w:t>
      </w:r>
    </w:p>
    <w:p>
      <w:pPr>
        <w:pStyle w:val="ListBullet"/>
        <w:spacing w:after="60"/>
      </w:pPr>
      <w:r>
        <w:t>Several existing approaches require additional parsing, feature extraction, or complex hybrid architectures, increasing implementation complexity.</w:t>
      </w:r>
    </w:p>
    <w:p>
      <w:pPr>
        <w:pStyle w:val="ListBullet"/>
        <w:spacing w:after="60"/>
      </w:pPr>
      <w:r>
        <w:t>Pre-trained Transformer models show strong performance, but many studies focus on larger, specialized, or domain-specific datasets rather than a simple end-to-end student-oriented TREC classifier.</w:t>
      </w:r>
    </w:p>
    <w:p>
      <w:pPr>
        <w:pStyle w:val="ListBullet"/>
        <w:spacing w:after="60"/>
      </w:pPr>
      <w:r>
        <w:t>Existing high-performing models may require substantial computational resources, making them less suitable for lightweight deployment.</w:t>
      </w:r>
    </w:p>
    <w:p>
      <w:pPr>
        <w:pStyle w:val="ListBullet"/>
        <w:spacing w:after="60"/>
      </w:pPr>
      <w:r>
        <w:t>Cross-domain generalization remains a challenge: a model trained on one question distribution may lose performance when the wording or domain changes.</w:t>
      </w:r>
    </w:p>
    <w:p>
      <w:pPr>
        <w:pStyle w:val="ListBullet"/>
        <w:spacing w:after="60"/>
      </w:pPr>
      <w:r>
        <w:t>There is a need for a practical BERT-based question-classification application that combines contextual classification, quantitative evaluation, error analysis, and an accessible user interface.</w:t>
      </w:r>
    </w:p>
    <w:p>
      <w:pPr>
        <w:pStyle w:val="Heading2"/>
      </w:pPr>
      <w:r>
        <w:t>How the Proposed Project Addresses the Gap</w:t>
      </w:r>
    </w:p>
    <w:p>
      <w:pPr>
        <w:pStyle w:val="ListBullet"/>
        <w:spacing w:after="60"/>
      </w:pPr>
      <w:r>
        <w:t>Use BERT self-attention and contextual embeddings instead of relying mainly on handcrafted features.</w:t>
      </w:r>
    </w:p>
    <w:p>
      <w:pPr>
        <w:pStyle w:val="ListBullet"/>
        <w:spacing w:after="60"/>
      </w:pPr>
      <w:r>
        <w:t>Fine-tune a single BERT sequence-classification model on the standard TREC dataset.</w:t>
      </w:r>
    </w:p>
    <w:p>
      <w:pPr>
        <w:pStyle w:val="ListBullet"/>
        <w:spacing w:after="60"/>
      </w:pPr>
      <w:r>
        <w:t>Use a reproducible preprocessing and training pipeline so the complete workflow is easy to demonstrate and evaluate.</w:t>
      </w:r>
    </w:p>
    <w:p>
      <w:pPr>
        <w:pStyle w:val="ListBullet"/>
        <w:spacing w:after="60"/>
      </w:pPr>
      <w:r>
        <w:t>Evaluate with multiple metrics and a confusion matrix rather than reporting accuracy alone.</w:t>
      </w:r>
    </w:p>
    <w:p>
      <w:pPr>
        <w:pStyle w:val="ListBullet"/>
        <w:spacing w:after="60"/>
      </w:pPr>
      <w:r>
        <w:t>Perform error analysis on misclassified questions to identify ambiguity and category overlap.</w:t>
      </w:r>
    </w:p>
    <w:p>
      <w:pPr>
        <w:pStyle w:val="ListBullet"/>
        <w:spacing w:after="60"/>
      </w:pPr>
      <w:r>
        <w:t>Provide a simple prediction interface/dashboard so the research model becomes a usable prototype rather than only a training experiment.</w:t>
      </w:r>
    </w:p>
    <w:p>
      <w:pPr>
        <w:pStyle w:val="ListBullet"/>
        <w:spacing w:after="60"/>
      </w:pPr>
      <w:r>
        <w:t>Optionally compare BERT against a lightweight baseline such as TF-IDF + Logistic Regression/SVM to demonstrate the value of contextual representations.</w:t>
      </w:r>
    </w:p>
    <w:p>
      <w:pPr>
        <w:pStyle w:val="Heading1"/>
      </w:pPr>
      <w:r>
        <w:t>6. Innovation</w:t>
      </w:r>
    </w:p>
    <w:p>
      <w:pPr>
        <w:pStyle w:val="ListBullet"/>
        <w:spacing w:after="60"/>
      </w:pPr>
      <w:r>
        <w:t>Application of contextual BERT representations specifically to automatic question-type classification.</w:t>
      </w:r>
    </w:p>
    <w:p>
      <w:pPr>
        <w:pStyle w:val="ListBullet"/>
        <w:spacing w:after="60"/>
      </w:pPr>
      <w:r>
        <w:t>End-to-end workflow from dataset preprocessing and fine-tuning to real-time prediction.</w:t>
      </w:r>
    </w:p>
    <w:p>
      <w:pPr>
        <w:pStyle w:val="ListBullet"/>
        <w:spacing w:after="60"/>
      </w:pPr>
      <w:r>
        <w:t>Inclusion of confidence scores and error analysis to make model behavior easier to inspect.</w:t>
      </w:r>
    </w:p>
    <w:p>
      <w:pPr>
        <w:pStyle w:val="ListBullet"/>
        <w:spacing w:after="60"/>
      </w:pPr>
      <w:r>
        <w:t>Baseline-versus-BERT comparison to show whether contextual Transformer representations provide measurable improvement.</w:t>
      </w:r>
    </w:p>
    <w:p>
      <w:pPr>
        <w:pStyle w:val="Heading1"/>
      </w:pPr>
      <w:r>
        <w:t>7. Creativity</w:t>
      </w:r>
    </w:p>
    <w:p>
      <w:pPr>
        <w:pStyle w:val="ListBullet"/>
        <w:spacing w:after="60"/>
      </w:pPr>
      <w:r>
        <w:t>Interactive dashboard where users can enter their own questions and immediately see the predicted category.</w:t>
      </w:r>
    </w:p>
    <w:p>
      <w:pPr>
        <w:pStyle w:val="ListBullet"/>
        <w:spacing w:after="60"/>
      </w:pPr>
      <w:r>
        <w:t>Visual display of category probabilities/confidence for easier interpretation.</w:t>
      </w:r>
    </w:p>
    <w:p>
      <w:pPr>
        <w:pStyle w:val="ListBullet"/>
        <w:spacing w:after="60"/>
      </w:pPr>
      <w:r>
        <w:t>Examples of correctly and incorrectly classified questions can be displayed for demonstration.</w:t>
      </w:r>
    </w:p>
    <w:p>
      <w:pPr>
        <w:pStyle w:val="ListBullet"/>
        <w:spacing w:after="60"/>
      </w:pPr>
      <w:r>
        <w:t>A confusion-matrix view can visually show which question types are most frequently confused.</w:t>
      </w:r>
    </w:p>
    <w:p>
      <w:pPr>
        <w:pStyle w:val="Heading1"/>
      </w:pPr>
      <w:r>
        <w:t>8. Novelty</w:t>
      </w:r>
    </w:p>
    <w:p>
      <w:r>
        <w:t>The novelty of the project is not the invention of BERT itself; BERT is an established pretrained Transformer model. The project novelty lies in developing a focused, reproducible, student-oriented question-classification pipeline that fine-tunes BERT on TREC, compares it with a conventional baseline, analyzes classification errors, and exposes the trained model through an interactive application. The project therefore combines established research techniques into a practical and evaluable system while explicitly addressing the limitations identified in the literature.</w:t>
      </w:r>
    </w:p>
    <w:p>
      <w:pPr>
        <w:pStyle w:val="Heading1"/>
      </w:pPr>
      <w:r>
        <w:t>9. Feasibility</w:t>
      </w:r>
    </w:p>
    <w:p>
      <w:pPr>
        <w:pStyle w:val="ListBullet"/>
        <w:spacing w:after="60"/>
      </w:pPr>
      <w:r>
        <w:t>Dataset feasibility: TREC is a public benchmark dataset with 5,500 labeled training questions and 500 test questions in the commonly used six-class version.</w:t>
      </w:r>
    </w:p>
    <w:p>
      <w:pPr>
        <w:pStyle w:val="ListBullet"/>
        <w:spacing w:after="60"/>
      </w:pPr>
      <w:r>
        <w:t>Technical feasibility: Python, PyTorch, Hugging Face Transformers, scikit-learn, pandas, and a lightweight dashboard framework such as Streamlit are sufficient.</w:t>
      </w:r>
    </w:p>
    <w:p>
      <w:pPr>
        <w:pStyle w:val="ListBullet"/>
        <w:spacing w:after="60"/>
      </w:pPr>
      <w:r>
        <w:t>Model feasibility: BERT-base-uncased can be fine-tuned for sequence classification without building a Transformer from scratch.</w:t>
      </w:r>
    </w:p>
    <w:p>
      <w:pPr>
        <w:pStyle w:val="ListBullet"/>
        <w:spacing w:after="60"/>
      </w:pPr>
      <w:r>
        <w:t>Development feasibility: The project can be implemented in VS Code and trained using a local GPU when available or a cloud notebook/GPU when required.</w:t>
      </w:r>
    </w:p>
    <w:p>
      <w:pPr>
        <w:pStyle w:val="ListBullet"/>
        <w:spacing w:after="60"/>
      </w:pPr>
      <w:r>
        <w:t>Evaluation feasibility: Accuracy, precision, recall, F1-score, confusion matrix, and per-class performance can be calculated using standard Python libraries.</w:t>
      </w:r>
    </w:p>
    <w:p>
      <w:pPr>
        <w:pStyle w:val="ListBullet"/>
        <w:spacing w:after="60"/>
      </w:pPr>
      <w:r>
        <w:t>Deployment feasibility: The trained model and tokenizer can be saved and loaded by a small web application for demonstration.</w:t>
      </w:r>
    </w:p>
    <w:p>
      <w:pPr>
        <w:pStyle w:val="Heading1"/>
      </w:pPr>
      <w:r>
        <w:t>10. Complete Project Plan / Execution Workflow</w:t>
      </w:r>
    </w:p>
    <w:p>
      <w:pPr>
        <w:spacing w:after="100"/>
      </w:pPr>
      <w:r>
        <w:rPr>
          <w:b/>
        </w:rPr>
        <w:t xml:space="preserve">Phase 1 – Problem Definition: </w:t>
      </w:r>
      <w:r>
        <w:t>Finalize the problem statement, research questions, target six classes, expected output, and project scope.</w:t>
      </w:r>
    </w:p>
    <w:p>
      <w:pPr>
        <w:spacing w:after="100"/>
      </w:pPr>
      <w:r>
        <w:rPr>
          <w:b/>
        </w:rPr>
        <w:t xml:space="preserve">Phase 2 – Literature Survey: </w:t>
      </w:r>
      <w:r>
        <w:t>Study classical, CNN/RNN, rule-based, and Transformer-based question-classification methods; document outcomes and limitations.</w:t>
      </w:r>
    </w:p>
    <w:p>
      <w:pPr>
        <w:spacing w:after="100"/>
      </w:pPr>
      <w:r>
        <w:rPr>
          <w:b/>
        </w:rPr>
        <w:t xml:space="preserve">Phase 3 – Dataset Collection: </w:t>
      </w:r>
      <w:r>
        <w:t>Download the TREC question-classification dataset and verify labels, class distribution, and train/test structure.</w:t>
      </w:r>
    </w:p>
    <w:p>
      <w:pPr>
        <w:spacing w:after="100"/>
      </w:pPr>
      <w:r>
        <w:rPr>
          <w:b/>
        </w:rPr>
        <w:t xml:space="preserve">Phase 4 – Data Preprocessing: </w:t>
      </w:r>
      <w:r>
        <w:t>Clean/validate text, map labels to numeric IDs, inspect class balance, tokenize questions with the BERT tokenizer, and prepare model-ready inputs.</w:t>
      </w:r>
    </w:p>
    <w:p>
      <w:pPr>
        <w:spacing w:after="100"/>
      </w:pPr>
      <w:r>
        <w:rPr>
          <w:b/>
        </w:rPr>
        <w:t xml:space="preserve">Phase 5 – Baseline Model: </w:t>
      </w:r>
      <w:r>
        <w:t>Train a lightweight baseline such as TF-IDF + Logistic Regression or SVM. Record accuracy, precision, recall, F1-score, and confusion matrix.</w:t>
      </w:r>
    </w:p>
    <w:p>
      <w:pPr>
        <w:spacing w:after="100"/>
      </w:pPr>
      <w:r>
        <w:rPr>
          <w:b/>
        </w:rPr>
        <w:t xml:space="preserve">Phase 6 – BERT Model Setup: </w:t>
      </w:r>
      <w:r>
        <w:t>Load bert-base-uncased and its tokenizer; configure the sequence-classification head for six classes.</w:t>
      </w:r>
    </w:p>
    <w:p>
      <w:pPr>
        <w:spacing w:after="100"/>
      </w:pPr>
      <w:r>
        <w:rPr>
          <w:b/>
        </w:rPr>
        <w:t xml:space="preserve">Phase 7 – Fine-Tuning: </w:t>
      </w:r>
      <w:r>
        <w:t>Train BERT on the TREC training set using a validation split, suitable batch size, learning rate, number of epochs, and early stopping/model checkpointing where appropriate.</w:t>
      </w:r>
    </w:p>
    <w:p>
      <w:pPr>
        <w:spacing w:after="100"/>
      </w:pPr>
      <w:r>
        <w:rPr>
          <w:b/>
        </w:rPr>
        <w:t xml:space="preserve">Phase 8 – Model Evaluation: </w:t>
      </w:r>
      <w:r>
        <w:t>Evaluate the final model on the held-out test set using accuracy, precision, recall, F1-score, per-class metrics, and a confusion matrix.</w:t>
      </w:r>
    </w:p>
    <w:p>
      <w:pPr>
        <w:spacing w:after="100"/>
      </w:pPr>
      <w:r>
        <w:rPr>
          <w:b/>
        </w:rPr>
        <w:t xml:space="preserve">Phase 9 – Error Analysis: </w:t>
      </w:r>
      <w:r>
        <w:t>Inspect incorrect predictions, especially confusion between semantically similar classes such as Entity/Description or Location/Entity, and document possible reasons.</w:t>
      </w:r>
    </w:p>
    <w:p>
      <w:pPr>
        <w:spacing w:after="100"/>
      </w:pPr>
      <w:r>
        <w:rPr>
          <w:b/>
        </w:rPr>
        <w:t xml:space="preserve">Phase 10 – Application Development: </w:t>
      </w:r>
      <w:r>
        <w:t>Create a simple Streamlit or Flask interface with a text box, Predict button, predicted category, confidence score, and optional probability chart.</w:t>
      </w:r>
    </w:p>
    <w:p>
      <w:pPr>
        <w:spacing w:after="100"/>
      </w:pPr>
      <w:r>
        <w:rPr>
          <w:b/>
        </w:rPr>
        <w:t xml:space="preserve">Phase 11 – Testing: </w:t>
      </w:r>
      <w:r>
        <w:t>Test the system with known TREC examples and new user-written questions; verify preprocessing, prediction, UI behavior, and model loading.</w:t>
      </w:r>
    </w:p>
    <w:p>
      <w:pPr>
        <w:spacing w:after="100"/>
      </w:pPr>
      <w:r>
        <w:rPr>
          <w:b/>
        </w:rPr>
        <w:t xml:space="preserve">Phase 12 – Final Documentation: </w:t>
      </w:r>
      <w:r>
        <w:t>Prepare architecture, methodology, results, screenshots, comparison table, research gap, innovation/novelty, limitations, future work, and references.</w:t>
      </w:r>
    </w:p>
    <w:p>
      <w:pPr>
        <w:spacing w:after="100"/>
      </w:pPr>
      <w:r>
        <w:rPr>
          <w:b/>
        </w:rPr>
        <w:t xml:space="preserve">Phase 13 – Presentation: </w:t>
      </w:r>
      <w:r>
        <w:t>Demonstrate the complete workflow: enter question → tokenize → BERT → classification → confidence → dashboard output.</w:t>
      </w:r>
    </w:p>
    <w:p>
      <w:pPr>
        <w:pStyle w:val="Heading2"/>
      </w:pPr>
      <w:r>
        <w:t>Workflow at a Glance</w:t>
      </w:r>
    </w:p>
    <w:p>
      <w:r>
        <w:rPr>
          <w:b/>
        </w:rPr>
        <w:t>TREC Dataset → Preprocessing → Train/Validation Split → BERT Tokenization → BERT Fine-Tuning → Evaluation → Error Analysis → Save Model → Dashboard → User Question → Prediction</w:t>
      </w:r>
    </w:p>
    <w:p>
      <w:pPr>
        <w:pStyle w:val="Heading1"/>
      </w:pPr>
      <w:r>
        <w:t>11. Expected Output</w:t>
      </w:r>
    </w:p>
    <w:p>
      <w:pPr>
        <w:pStyle w:val="ListBullet"/>
        <w:spacing w:after="60"/>
      </w:pPr>
      <w:r>
        <w:t>A trained BERT-based six-class question classifier.</w:t>
      </w:r>
    </w:p>
    <w:p>
      <w:pPr>
        <w:pStyle w:val="ListBullet"/>
        <w:spacing w:after="60"/>
      </w:pPr>
      <w:r>
        <w:t>Evaluation report containing accuracy, precision, recall, F1-score and confusion matrix.</w:t>
      </w:r>
    </w:p>
    <w:p>
      <w:pPr>
        <w:pStyle w:val="ListBullet"/>
        <w:spacing w:after="60"/>
      </w:pPr>
      <w:r>
        <w:t>A comparison between a traditional baseline and BERT.</w:t>
      </w:r>
    </w:p>
    <w:p>
      <w:pPr>
        <w:pStyle w:val="ListBullet"/>
        <w:spacing w:after="60"/>
      </w:pPr>
      <w:r>
        <w:t>A working dashboard for entering a question and viewing the predicted question type.</w:t>
      </w:r>
    </w:p>
    <w:p>
      <w:pPr>
        <w:pStyle w:val="ListBullet"/>
        <w:spacing w:after="60"/>
      </w:pPr>
      <w:r>
        <w:t>A documented error analysis showing strengths and weaknesses of the classifier.</w:t>
      </w:r>
    </w:p>
    <w:p>
      <w:pPr>
        <w:pStyle w:val="Heading1"/>
      </w:pPr>
      <w:r>
        <w:t>12. Scope and Current Limitations</w:t>
      </w:r>
    </w:p>
    <w:p>
      <w:pPr>
        <w:pStyle w:val="ListBullet"/>
        <w:spacing w:after="60"/>
      </w:pPr>
      <w:r>
        <w:t>The primary implementation will target English questions from the TREC dataset.</w:t>
      </w:r>
    </w:p>
    <w:p>
      <w:pPr>
        <w:pStyle w:val="ListBullet"/>
        <w:spacing w:after="60"/>
      </w:pPr>
      <w:r>
        <w:t>The main classifier will use six coarse categories; fine-grained TREC-50 classification can be treated as an extension.</w:t>
      </w:r>
    </w:p>
    <w:p>
      <w:pPr>
        <w:pStyle w:val="ListBullet"/>
        <w:spacing w:after="60"/>
      </w:pPr>
      <w:r>
        <w:t>BERT may require more memory and computation than classical models.</w:t>
      </w:r>
    </w:p>
    <w:p>
      <w:pPr>
        <w:pStyle w:val="ListBullet"/>
        <w:spacing w:after="60"/>
      </w:pPr>
      <w:r>
        <w:t>Performance may decrease for domains or languages that differ substantially from the training distribution.</w:t>
      </w:r>
    </w:p>
    <w:p>
      <w:pPr>
        <w:pStyle w:val="ListBullet"/>
        <w:spacing w:after="60"/>
      </w:pPr>
      <w:r>
        <w:t>Confidence scores should be interpreted as model probabilities, not as guaranteed correctness.</w:t>
      </w:r>
    </w:p>
    <w:p>
      <w:pPr>
        <w:pStyle w:val="Heading1"/>
      </w:pPr>
      <w:r>
        <w:t>13. Future Enhancements</w:t>
      </w:r>
    </w:p>
    <w:p>
      <w:pPr>
        <w:pStyle w:val="ListBullet"/>
        <w:spacing w:after="60"/>
      </w:pPr>
      <w:r>
        <w:t>Extend from TREC-6 to TREC-50 fine-grained classification.</w:t>
      </w:r>
    </w:p>
    <w:p>
      <w:pPr>
        <w:pStyle w:val="ListBullet"/>
        <w:spacing w:after="60"/>
      </w:pPr>
      <w:r>
        <w:t>Compare BERT with DistilBERT, RoBERTa, and DeBERTa for accuracy versus efficiency.</w:t>
      </w:r>
    </w:p>
    <w:p>
      <w:pPr>
        <w:pStyle w:val="ListBullet"/>
        <w:spacing w:after="60"/>
      </w:pPr>
      <w:r>
        <w:t>Add data augmentation for limited-data scenarios.</w:t>
      </w:r>
    </w:p>
    <w:p>
      <w:pPr>
        <w:pStyle w:val="ListBullet"/>
        <w:spacing w:after="60"/>
      </w:pPr>
      <w:r>
        <w:t>Support multilingual question classification.</w:t>
      </w:r>
    </w:p>
    <w:p>
      <w:pPr>
        <w:pStyle w:val="ListBullet"/>
        <w:spacing w:after="60"/>
      </w:pPr>
      <w:r>
        <w:t>Integrate the classifier with a complete Question Answering system.</w:t>
      </w:r>
    </w:p>
    <w:p>
      <w:pPr>
        <w:pStyle w:val="ListBullet"/>
        <w:spacing w:after="60"/>
      </w:pPr>
      <w:r>
        <w:t>Add explainability/error-analysis tools such as attention visualization or representative examples.</w:t>
      </w:r>
    </w:p>
    <w:p>
      <w:pPr>
        <w:pStyle w:val="Heading1"/>
      </w:pPr>
      <w:r>
        <w:t>14. Key References and Dataset Links</w:t>
      </w:r>
    </w:p>
    <w:p>
      <w:pPr>
        <w:pStyle w:val="ListBullet"/>
      </w:pPr>
      <w:hyperlink r:id="rId19">
        <w:r>
          <w:rPr>
            <w:color w:val="0563C1"/>
            <w:u w:val="single"/>
          </w:rPr>
          <w:t>TREC Dataset – TensorFlow Datasets</w:t>
        </w:r>
      </w:hyperlink>
    </w:p>
    <w:p>
      <w:pPr>
        <w:pStyle w:val="ListBullet"/>
      </w:pPr>
      <w:hyperlink r:id="rId20">
        <w:r>
          <w:rPr>
            <w:color w:val="0563C1"/>
            <w:u w:val="single"/>
          </w:rPr>
          <w:t>Original TREC Question Classification Resources – Cognitive Computation Group</w:t>
        </w:r>
      </w:hyperlink>
    </w:p>
    <w:p>
      <w:pPr>
        <w:pStyle w:val="ListBullet"/>
      </w:pPr>
      <w:hyperlink r:id="rId9">
        <w:r>
          <w:rPr>
            <w:color w:val="0563C1"/>
            <w:u w:val="single"/>
          </w:rPr>
          <w:t>Li &amp; Roth – Learning Question Classifiers</w:t>
        </w:r>
      </w:hyperlink>
    </w:p>
    <w:p>
      <w:pPr>
        <w:pStyle w:val="ListBullet"/>
      </w:pPr>
      <w:hyperlink r:id="rId10">
        <w:r>
          <w:rPr>
            <w:color w:val="0563C1"/>
            <w:u w:val="single"/>
          </w:rPr>
          <w:t>Zhang &amp; Lee – Question Classification using Support Vector Machines</w:t>
        </w:r>
      </w:hyperlink>
    </w:p>
    <w:p>
      <w:pPr>
        <w:pStyle w:val="ListBullet"/>
      </w:pPr>
      <w:hyperlink r:id="rId11">
        <w:r>
          <w:rPr>
            <w:color w:val="0563C1"/>
            <w:u w:val="single"/>
          </w:rPr>
          <w:t>Kim – Convolutional Neural Networks for Sentence Classification</w:t>
        </w:r>
      </w:hyperlink>
    </w:p>
    <w:p>
      <w:pPr>
        <w:pStyle w:val="ListBullet"/>
      </w:pPr>
      <w:hyperlink r:id="rId12">
        <w:r>
          <w:rPr>
            <w:color w:val="0563C1"/>
            <w:u w:val="single"/>
          </w:rPr>
          <w:t>Ma et al. – Dependency-based Convolutional Neural Networks for Sentence Embedding</w:t>
        </w:r>
      </w:hyperlink>
    </w:p>
    <w:p>
      <w:pPr>
        <w:pStyle w:val="ListBullet"/>
      </w:pPr>
      <w:hyperlink r:id="rId13">
        <w:r>
          <w:rPr>
            <w:color w:val="0563C1"/>
            <w:u w:val="single"/>
          </w:rPr>
          <w:t>Van-Tu &amp; Anh-Cuong – Improving Question Classification by Feature Extraction and Selection</w:t>
        </w:r>
      </w:hyperlink>
    </w:p>
    <w:p>
      <w:pPr>
        <w:pStyle w:val="ListBullet"/>
      </w:pPr>
      <w:hyperlink r:id="rId14">
        <w:r>
          <w:rPr>
            <w:color w:val="0563C1"/>
            <w:u w:val="single"/>
          </w:rPr>
          <w:t>Madabushi &amp; Lee – High Accuracy Rule-based Question Classification using Question Syntax and Semantics</w:t>
        </w:r>
      </w:hyperlink>
    </w:p>
    <w:p>
      <w:pPr>
        <w:pStyle w:val="ListBullet"/>
      </w:pPr>
      <w:hyperlink r:id="rId15">
        <w:r>
          <w:rPr>
            <w:color w:val="0563C1"/>
            <w:u w:val="single"/>
          </w:rPr>
          <w:t>Xu et al. – Multi-class Hierarchical Question Classification for Multiple Choice Science Exams</w:t>
        </w:r>
      </w:hyperlink>
    </w:p>
    <w:p>
      <w:pPr>
        <w:pStyle w:val="ListBullet"/>
      </w:pPr>
      <w:hyperlink r:id="rId16">
        <w:r>
          <w:rPr>
            <w:color w:val="0563C1"/>
            <w:u w:val="single"/>
          </w:rPr>
          <w:t>Mallikarjuna &amp; Sivanesan – Question Classification Using Limited Labelled Data</w:t>
        </w:r>
      </w:hyperlink>
    </w:p>
    <w:p>
      <w:pPr>
        <w:pStyle w:val="ListBullet"/>
      </w:pPr>
      <w:hyperlink r:id="rId17">
        <w:r>
          <w:rPr>
            <w:color w:val="0563C1"/>
            <w:u w:val="single"/>
          </w:rPr>
          <w:t>Attention-Based Transformer-BiGRU for Question Classification</w:t>
        </w:r>
      </w:hyperlink>
    </w:p>
    <w:p>
      <w:pPr>
        <w:pStyle w:val="ListBullet"/>
      </w:pPr>
      <w:hyperlink r:id="rId18">
        <w:r>
          <w:rPr>
            <w:color w:val="0563C1"/>
            <w:u w:val="single"/>
          </w:rPr>
          <w:t>Aburass et al. – An Ensemble Approach to Question Classification</w:t>
        </w:r>
      </w:hyperlink>
    </w:p>
    <w:p/>
    <w:p>
      <w:pPr>
        <w:jc w:val="center"/>
      </w:pPr>
      <w:r>
        <w:rPr>
          <w:i/>
          <w:sz w:val="18"/>
        </w:rPr>
        <w:t>Note: The document is aligned to the BERT-based automatic question-classification project discussed earlier. The PPT itself was not available as a file in this message; upload the PPT if you want the wording and section order matched slide-by-slide.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clanthology.org/C02-1150/" TargetMode="External"/><Relationship Id="rId10" Type="http://schemas.openxmlformats.org/officeDocument/2006/relationships/hyperlink" Target="https://doi.org/10.1145/860435.860443" TargetMode="External"/><Relationship Id="rId11" Type="http://schemas.openxmlformats.org/officeDocument/2006/relationships/hyperlink" Target="https://aclanthology.org/D14-1181/" TargetMode="External"/><Relationship Id="rId12" Type="http://schemas.openxmlformats.org/officeDocument/2006/relationships/hyperlink" Target="https://aclanthology.org/P15-2029/" TargetMode="External"/><Relationship Id="rId13" Type="http://schemas.openxmlformats.org/officeDocument/2006/relationships/hyperlink" Target="https://indjst.org/articles/improving-question-classification-by-feature-extraction-and-selection" TargetMode="External"/><Relationship Id="rId14" Type="http://schemas.openxmlformats.org/officeDocument/2006/relationships/hyperlink" Target="https://aclanthology.org/C16-1116/" TargetMode="External"/><Relationship Id="rId15" Type="http://schemas.openxmlformats.org/officeDocument/2006/relationships/hyperlink" Target="https://aclanthology.org/2020.lrec-1.661/" TargetMode="External"/><Relationship Id="rId16" Type="http://schemas.openxmlformats.org/officeDocument/2006/relationships/hyperlink" Target="https://www.sciencedirect.com/science/article/pii/S0306457322001959" TargetMode="External"/><Relationship Id="rId17" Type="http://schemas.openxmlformats.org/officeDocument/2006/relationships/hyperlink" Target="https://www.mdpi.com/2078-2489/13/5/214" TargetMode="External"/><Relationship Id="rId18" Type="http://schemas.openxmlformats.org/officeDocument/2006/relationships/hyperlink" Target="https://arxiv.org/abs/2308.06828" TargetMode="External"/><Relationship Id="rId19" Type="http://schemas.openxmlformats.org/officeDocument/2006/relationships/hyperlink" Target="https://www.tensorflow.org/datasets/catalog/trec" TargetMode="External"/><Relationship Id="rId20" Type="http://schemas.openxmlformats.org/officeDocument/2006/relationships/hyperlink" Target="https://cogcomp.seas.upenn.edu/Data/QA/Q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