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Leave-behind: one Virley experience in every channel</w:t>
      </w:r>
    </w:p>
    <w:p>
      <w:pPr/>
      <w:r>
        <w:t xml:space="preserve">Oct 21, 2026</w:t>
      </w:r>
      <w:r>
        <w:t xml:space="preserve"> ·</w:t>
      </w:r>
    </w:p>
    <w:p>
      <w:pPr/>
      <w:r>
        <w:t xml:space="preserve">V&amp;S can return to leading growth by delivering one Virley experience in every channel, proven in London in year one and scaled after.</w:t>
      </w:r>
    </w:p>
    <w:p>
      <w:pPr>
        <w:pStyle w:val="Heading2"/>
      </w:pPr>
      <w:r>
        <w:t xml:space="preserve">The storyline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8"/>
        <w:gridCol w:w="3881"/>
        <w:gridCol w:w="3101"/>
      </w:tblGrid>
      <w:tr>
        <w:trPr>
          <w:tblHeader/>
        </w:trPr>
        <w:tc>
          <w:tcPr>
            <w:tcW w:w="2378" w:type="dxa"/>
            <w:shd w:val="clear" w:color="auto" w:fill="F2F2F2"/>
          </w:tcPr>
          <w:p>
            <w:pPr/>
            <w:r>
              <w:t xml:space="preserve">Main idea</w:t>
            </w:r>
          </w:p>
        </w:tc>
        <w:tc>
          <w:tcPr>
            <w:tcW w:w="3881" w:type="dxa"/>
            <w:shd w:val="clear" w:color="auto" w:fill="F2F2F2"/>
          </w:tcPr>
          <w:p>
            <w:pPr/>
            <w:r>
              <w:t xml:space="preserve">Supporting ideas</w:t>
            </w:r>
          </w:p>
        </w:tc>
        <w:tc>
          <w:tcPr>
            <w:tcW w:w="3101" w:type="dxa"/>
            <w:shd w:val="clear" w:color="auto" w:fill="F2F2F2"/>
          </w:tcPr>
          <w:p>
            <w:pPr/>
            <w:r>
              <w:t xml:space="preserve">Facts to date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The sales push is capped by how the experience is delivered and run</w:t>
            </w:r>
          </w:p>
        </w:tc>
        <w:tc>
          <w:tcPr>
            <w:tcW w:w="3881" w:type="dxa"/>
          </w:tcPr>
          <w:p>
            <w:pPr/>
            <w:r>
              <w:t xml:space="preserve">Online delivery and returns have operational issues; foundations are fragmented across people, stock data and IT</w:t>
            </w:r>
          </w:p>
        </w:tc>
        <w:tc>
          <w:tcPr>
            <w:tcW w:w="3101" w:type="dxa"/>
          </w:tcPr>
          <w:p>
            <w:pPr/>
            <w:r>
              <w:t xml:space="preserve">Growth below market, margins falling, IT director seat empty for 6+ months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One Virley experience across stores and online is the growth idea</w:t>
            </w:r>
          </w:p>
        </w:tc>
        <w:tc>
          <w:tcPr>
            <w:tcW w:w="3881" w:type="dxa"/>
          </w:tcPr>
          <w:p>
            <w:pPr/>
            <w:r>
              <w:t xml:space="preserve">Know every client and serve them the same everywhere; stores stage the experience and online extends it</w:t>
            </w:r>
          </w:p>
        </w:tc>
        <w:tc>
          <w:tcPr>
            <w:tcW w:w="3101" w:type="dxa"/>
          </w:tcPr>
          <w:p>
            <w:pPr/>
            <w:r>
              <w:t xml:space="preserve">Millennials and Gen Z about 45% of luxury; omnichannel brands grow 9.5% a year vs 3.4% for single-channel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A phased plan proves it within a year and scales it after</w:t>
            </w:r>
          </w:p>
        </w:tc>
        <w:tc>
          <w:tcPr>
            <w:tcW w:w="3881" w:type="dxa"/>
          </w:tcPr>
          <w:p>
            <w:pPr/>
            <w:r>
              <w:t xml:space="preserve">Fix foundations, then prove the model in London; scale proven formats and time any web-only acquisition</w:t>
            </w:r>
          </w:p>
        </w:tc>
        <w:tc>
          <w:tcPr>
            <w:tcW w:w="3101" w:type="dxa"/>
          </w:tcPr>
          <w:p>
            <w:pPr/>
            <w:r>
              <w:t xml:space="preserve">£2bn and 10% targets to be validated by benchmarking against peers</w:t>
            </w:r>
          </w:p>
        </w:tc>
      </w:tr>
    </w:tbl>
    <w:p>
      <w:pPr>
        <w:pStyle w:val="Heading2"/>
      </w:pPr>
      <w:r>
        <w:t xml:space="preserve">Roadmap</w:t>
      </w:r>
    </w:p>
    <w:p>
      <w:pPr/>
      <w:r>
        <w:t xml:space="preserve">First 100 days: foundations. Months 4 to 12: prove the model in London. Year 2: scale proven formats and decide on a web-only acquisition.</w:t>
      </w:r>
    </w:p>
    <w:p>
      <w:pPr>
        <w:pStyle w:val="Heading2"/>
      </w:pPr>
      <w:r>
        <w:t xml:space="preserve">Three decisions today</w:t>
      </w:r>
    </w:p>
    <w:p>
      <w:pPr>
        <w:pStyle w:val="ListParagraph"/>
        <w:numPr>
          <w:ilvl w:val="0"/>
          <w:numId w:val="2"/>
        </w:numPr>
      </w:pPr>
      <w:r>
        <w:t xml:space="preserve">Endorse the reframe to one Virley experience in every channel</w:t>
      </w:r>
    </w:p>
    <w:p>
      <w:pPr>
        <w:pStyle w:val="ListParagraph"/>
        <w:numPr>
          <w:ilvl w:val="0"/>
          <w:numId w:val="2"/>
        </w:numPr>
      </w:pPr>
      <w:r>
        <w:t xml:space="preserve">Agree to prove the model in the London flagship</w:t>
      </w:r>
    </w:p>
    <w:p>
      <w:pPr>
        <w:pStyle w:val="ListParagraph"/>
        <w:numPr>
          <w:ilvl w:val="0"/>
          <w:numId w:val="2"/>
        </w:numPr>
      </w:pPr>
      <w:r>
        <w:t xml:space="preserve">Name sponsors and an interim IT leader</w:t>
      </w:r>
    </w:p>
    <w:p>
      <w:pPr>
        <w:pStyle w:val="Heading2"/>
      </w:pPr>
      <w:r>
        <w:t xml:space="preserve">Next 30 days</w:t>
      </w:r>
    </w:p>
    <w:p>
      <w:pPr>
        <w:pStyle w:val="ListParagraph"/>
        <w:numPr>
          <w:ilvl w:val="0"/>
          <w:numId w:val="3"/>
        </w:numPr>
      </w:pPr>
      <w:r>
        <w:t xml:space="preserve">Benchmark V&amp;S against peers</w:t>
      </w:r>
    </w:p>
    <w:p>
      <w:pPr>
        <w:pStyle w:val="ListParagraph"/>
        <w:numPr>
          <w:ilvl w:val="0"/>
          <w:numId w:val="3"/>
        </w:numPr>
      </w:pPr>
      <w:r>
        <w:t xml:space="preserve">Map the client journey and review the online report</w:t>
      </w:r>
    </w:p>
    <w:p>
      <w:pPr>
        <w:pStyle w:val="ListParagraph"/>
        <w:numPr>
          <w:ilvl w:val="0"/>
          <w:numId w:val="3"/>
        </w:numPr>
      </w:pPr>
      <w:r>
        <w:t xml:space="preserve">Build a store-level P&amp;L baseline</w:t>
      </w:r>
    </w:p>
    <w:p>
      <w:pPr>
        <w:pStyle w:val="ListParagraph"/>
        <w:numPr>
          <w:ilvl w:val="0"/>
          <w:numId w:val="3"/>
        </w:numPr>
      </w:pPr>
      <w:r>
        <w:t xml:space="preserve">Hold a board alignment workshop</w:t>
      </w:r>
    </w:p>
    <w:p>
      <w:pPr/>
      <w:r>
        <w:t xml:space="preserve">Market figures: Clarkston Consulting 2026; HUB Institute 2024, cited by Cegid. Draft for discussion, 27 October 2026.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Leave-behind one Virley experience in every channel</dc:title>
  <dc:description>Claude Docs node/8f9e5139-b9cf@4 docx-w7</dc:description>
  <cp:revision>4</cp:revision>
</cp:coreProperties>
</file>