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Pitch prep pack: Virley &amp; Sons</w:t>
      </w:r>
    </w:p>
    <w:p>
      <w:pPr/>
      <w:r>
        <w:t xml:space="preserve">Oct 21, 2026</w:t>
      </w:r>
      <w:r>
        <w:t xml:space="preserve"> </w:t>
      </w:r>
    </w:p>
    <w:p>
      <w:pPr>
        <w:pStyle w:val="Heading2"/>
      </w:pPr>
      <w:r>
        <w:t xml:space="preserve">Talk track</w:t>
      </w:r>
    </w:p>
    <w:p>
      <w:pPr/>
      <w:r>
        <w:t xml:space="preserve">The full run of the 21 main slides is about 40 minutes, including a 15-minute co-creation, which is too long for an assumed 30-minute slot. Hold slides 9, 10, 16 and 20 as backup and shorten the co-creation to 10 minutes. Confirm the real slot and date, because the email says only “later this week”.</w:t>
      </w:r>
    </w:p>
    <w:tbl>
      <w:tblPr>
        <w:tblStyle w:val="TableGrid"/>
        <w:tblW w:w="0" w:type="auto"/>
        <w:tblLayout w:type="fixed"/>
        <w:tblLook w:val="04A0" w:firstRow="1" w:lastRow="0" w:firstColumn="0" w:lastColumn="0" w:noHBand="0" w:noVBand="1"/>
      </w:tblPr>
      <w:tblGrid>
        <w:gridCol w:w="720"/>
        <w:gridCol w:w="2924"/>
        <w:gridCol w:w="796"/>
        <w:gridCol w:w="4920"/>
      </w:tblGrid>
      <w:tr>
        <w:trPr>
          <w:tblHeader/>
        </w:trPr>
        <w:tc>
          <w:tcPr>
            <w:tcW w:w="720" w:type="dxa"/>
            <w:shd w:val="clear" w:color="auto" w:fill="F2F2F2"/>
          </w:tcPr>
          <w:p>
            <w:pPr/>
            <w:r>
              <w:t xml:space="preserve">#</w:t>
            </w:r>
          </w:p>
        </w:tc>
        <w:tc>
          <w:tcPr>
            <w:tcW w:w="2924" w:type="dxa"/>
            <w:shd w:val="clear" w:color="auto" w:fill="F2F2F2"/>
          </w:tcPr>
          <w:p>
            <w:pPr/>
            <w:r>
              <w:t xml:space="preserve">Slide</w:t>
            </w:r>
          </w:p>
        </w:tc>
        <w:tc>
          <w:tcPr>
            <w:tcW w:w="796" w:type="dxa"/>
            <w:shd w:val="clear" w:color="auto" w:fill="F2F2F2"/>
          </w:tcPr>
          <w:p>
            <w:pPr/>
            <w:r>
              <w:t xml:space="preserve">Time</w:t>
            </w:r>
          </w:p>
        </w:tc>
        <w:tc>
          <w:tcPr>
            <w:tcW w:w="4920" w:type="dxa"/>
            <w:shd w:val="clear" w:color="auto" w:fill="F2F2F2"/>
          </w:tcPr>
          <w:p>
            <w:pPr/>
            <w:r>
              <w:t xml:space="preserve">Key line to say</w:t>
            </w:r>
          </w:p>
        </w:tc>
      </w:tr>
      <w:tr>
        <w:tc>
          <w:tcPr>
            <w:tcW w:w="720" w:type="dxa"/>
          </w:tcPr>
          <w:p>
            <w:pPr/>
            <w:r>
              <w:t xml:space="preserve">1</w:t>
            </w:r>
          </w:p>
        </w:tc>
        <w:tc>
          <w:tcPr>
            <w:tcW w:w="2924" w:type="dxa"/>
          </w:tcPr>
          <w:p>
            <w:pPr/>
            <w:r>
              <w:t xml:space="preserve">Title</w:t>
            </w:r>
          </w:p>
        </w:tc>
        <w:tc>
          <w:tcPr>
            <w:tcW w:w="796" w:type="dxa"/>
          </w:tcPr>
          <w:p>
            <w:pPr/>
            <w:r>
              <w:t xml:space="preserve">0:30</w:t>
            </w:r>
          </w:p>
        </w:tc>
        <w:tc>
          <w:tcPr>
            <w:tcW w:w="4920" w:type="dxa"/>
          </w:tcPr>
          <w:p>
            <w:pPr/>
            <w:r>
              <w:t xml:space="preserve">“This is a draft answer, and we want to test it with you.”</w:t>
            </w:r>
          </w:p>
        </w:tc>
      </w:tr>
      <w:tr>
        <w:tc>
          <w:tcPr>
            <w:tcW w:w="720" w:type="dxa"/>
          </w:tcPr>
          <w:p>
            <w:pPr/>
            <w:r>
              <w:t xml:space="preserve">2</w:t>
            </w:r>
          </w:p>
        </w:tc>
        <w:tc>
          <w:tcPr>
            <w:tcW w:w="2924" w:type="dxa"/>
          </w:tcPr>
          <w:p>
            <w:pPr/>
            <w:r>
              <w:t xml:space="preserve">Executive summary</w:t>
            </w:r>
          </w:p>
        </w:tc>
        <w:tc>
          <w:tcPr>
            <w:tcW w:w="796" w:type="dxa"/>
          </w:tcPr>
          <w:p>
            <w:pPr/>
            <w:r>
              <w:t xml:space="preserve">1:30</w:t>
            </w:r>
          </w:p>
        </w:tc>
        <w:tc>
          <w:tcPr>
            <w:tcW w:w="4920" w:type="dxa"/>
          </w:tcPr>
          <w:p>
            <w:pPr/>
            <w:r>
              <w:t xml:space="preserve">“Customers are coming but each visit is worth less. One Virley experience in every channel fixes that.”</w:t>
            </w:r>
          </w:p>
        </w:tc>
      </w:tr>
      <w:tr>
        <w:tc>
          <w:tcPr>
            <w:tcW w:w="720" w:type="dxa"/>
          </w:tcPr>
          <w:p>
            <w:pPr/>
            <w:r>
              <w:t xml:space="preserve">3</w:t>
            </w:r>
          </w:p>
        </w:tc>
        <w:tc>
          <w:tcPr>
            <w:tcW w:w="2924" w:type="dxa"/>
          </w:tcPr>
          <w:p>
            <w:pPr/>
            <w:r>
              <w:t xml:space="preserve">Storyline</w:t>
            </w:r>
          </w:p>
        </w:tc>
        <w:tc>
          <w:tcPr>
            <w:tcW w:w="796" w:type="dxa"/>
          </w:tcPr>
          <w:p>
            <w:pPr/>
            <w:r>
              <w:t xml:space="preserve">1:00</w:t>
            </w:r>
          </w:p>
        </w:tc>
        <w:tc>
          <w:tcPr>
            <w:tcW w:w="4920" w:type="dxa"/>
          </w:tcPr>
          <w:p>
            <w:pPr/>
            <w:r>
              <w:t xml:space="preserve">“One core message, three reasons, and the facts behind each.”</w:t>
            </w:r>
          </w:p>
        </w:tc>
      </w:tr>
      <w:tr>
        <w:tc>
          <w:tcPr>
            <w:tcW w:w="720" w:type="dxa"/>
          </w:tcPr>
          <w:p>
            <w:pPr/>
            <w:r>
              <w:t xml:space="preserve">4</w:t>
            </w:r>
          </w:p>
        </w:tc>
        <w:tc>
          <w:tcPr>
            <w:tcW w:w="2924" w:type="dxa"/>
          </w:tcPr>
          <w:p>
            <w:pPr/>
            <w:r>
              <w:t xml:space="preserve">What we heard</w:t>
            </w:r>
          </w:p>
        </w:tc>
        <w:tc>
          <w:tcPr>
            <w:tcW w:w="796" w:type="dxa"/>
          </w:tcPr>
          <w:p>
            <w:pPr/>
            <w:r>
              <w:t xml:space="preserve">1:00</w:t>
            </w:r>
          </w:p>
        </w:tc>
        <w:tc>
          <w:tcPr>
            <w:tcW w:w="4920" w:type="dxa"/>
          </w:tcPr>
          <w:p>
            <w:pPr/>
            <w:r>
              <w:t xml:space="preserve">“£2bn and 10% are the goals. Today it is £1.26bn at 8.0%.”</w:t>
            </w:r>
          </w:p>
        </w:tc>
      </w:tr>
      <w:tr>
        <w:tc>
          <w:tcPr>
            <w:tcW w:w="720" w:type="dxa"/>
          </w:tcPr>
          <w:p>
            <w:pPr/>
            <w:r>
              <w:t xml:space="preserve">5</w:t>
            </w:r>
          </w:p>
        </w:tc>
        <w:tc>
          <w:tcPr>
            <w:tcW w:w="2924" w:type="dxa"/>
          </w:tcPr>
          <w:p>
            <w:pPr/>
            <w:r>
              <w:t xml:space="preserve">Store sales</w:t>
            </w:r>
          </w:p>
        </w:tc>
        <w:tc>
          <w:tcPr>
            <w:tcW w:w="796" w:type="dxa"/>
          </w:tcPr>
          <w:p>
            <w:pPr/>
            <w:r>
              <w:t xml:space="preserve">1:00</w:t>
            </w:r>
          </w:p>
        </w:tc>
        <w:tc>
          <w:tcPr>
            <w:tcW w:w="4920" w:type="dxa"/>
          </w:tcPr>
          <w:p>
            <w:pPr/>
            <w:r>
              <w:t xml:space="preserve">“Store sales slipped 1.1%: London and Orlando fell, Birmingham grew 8.4%.”</w:t>
            </w:r>
          </w:p>
        </w:tc>
      </w:tr>
      <w:tr>
        <w:tc>
          <w:tcPr>
            <w:tcW w:w="720" w:type="dxa"/>
          </w:tcPr>
          <w:p>
            <w:pPr/>
            <w:r>
              <w:t xml:space="preserve">6</w:t>
            </w:r>
          </w:p>
        </w:tc>
        <w:tc>
          <w:tcPr>
            <w:tcW w:w="2924" w:type="dxa"/>
          </w:tcPr>
          <w:p>
            <w:pPr/>
            <w:r>
              <w:t xml:space="preserve">Value per sale</w:t>
            </w:r>
          </w:p>
        </w:tc>
        <w:tc>
          <w:tcPr>
            <w:tcW w:w="796" w:type="dxa"/>
          </w:tcPr>
          <w:p>
            <w:pPr/>
            <w:r>
              <w:t xml:space="preserve">1:30</w:t>
            </w:r>
          </w:p>
        </w:tc>
        <w:tc>
          <w:tcPr>
            <w:tcW w:w="4920" w:type="dxa"/>
          </w:tcPr>
          <w:p>
            <w:pPr/>
            <w:r>
              <w:t xml:space="preserve">“Sales counts rose 7–10% everywhere, yet value per sale fell 11–15% in three stores.”</w:t>
            </w:r>
          </w:p>
        </w:tc>
      </w:tr>
      <w:tr>
        <w:tc>
          <w:tcPr>
            <w:tcW w:w="720" w:type="dxa"/>
          </w:tcPr>
          <w:p>
            <w:pPr/>
            <w:r>
              <w:t xml:space="preserve">7</w:t>
            </w:r>
          </w:p>
        </w:tc>
        <w:tc>
          <w:tcPr>
            <w:tcW w:w="2924" w:type="dxa"/>
          </w:tcPr>
          <w:p>
            <w:pPr/>
            <w:r>
              <w:t xml:space="preserve">Margin and logistics</w:t>
            </w:r>
          </w:p>
        </w:tc>
        <w:tc>
          <w:tcPr>
            <w:tcW w:w="796" w:type="dxa"/>
          </w:tcPr>
          <w:p>
            <w:pPr/>
            <w:r>
              <w:t xml:space="preserve">1:30</w:t>
            </w:r>
          </w:p>
        </w:tc>
        <w:tc>
          <w:tcPr>
            <w:tcW w:w="4920" w:type="dxa"/>
          </w:tcPr>
          <w:p>
            <w:pPr/>
            <w:r>
              <w:t xml:space="preserve">“Logistics is 17.5% of revenue. Two points of cost closes the gap to 10%.”</w:t>
            </w:r>
          </w:p>
        </w:tc>
      </w:tr>
      <w:tr>
        <w:tc>
          <w:tcPr>
            <w:tcW w:w="720" w:type="dxa"/>
          </w:tcPr>
          <w:p>
            <w:pPr/>
            <w:r>
              <w:t xml:space="preserve">8</w:t>
            </w:r>
          </w:p>
        </w:tc>
        <w:tc>
          <w:tcPr>
            <w:tcW w:w="2924" w:type="dxa"/>
          </w:tcPr>
          <w:p>
            <w:pPr/>
            <w:r>
              <w:t xml:space="preserve">Online</w:t>
            </w:r>
          </w:p>
        </w:tc>
        <w:tc>
          <w:tcPr>
            <w:tcW w:w="796" w:type="dxa"/>
          </w:tcPr>
          <w:p>
            <w:pPr/>
            <w:r>
              <w:t xml:space="preserve">1:30</w:t>
            </w:r>
          </w:p>
        </w:tc>
        <w:tc>
          <w:tcPr>
            <w:tcW w:w="4920" w:type="dxa"/>
          </w:tcPr>
          <w:p>
            <w:pPr/>
            <w:r>
              <w:t xml:space="preserve">“982,000 visits, 58% from outside the UK, but only £5.7m of revenue.”</w:t>
            </w:r>
          </w:p>
        </w:tc>
      </w:tr>
      <w:tr>
        <w:tc>
          <w:tcPr>
            <w:tcW w:w="720" w:type="dxa"/>
          </w:tcPr>
          <w:p>
            <w:pPr/>
            <w:r>
              <w:t xml:space="preserve">9</w:t>
            </w:r>
          </w:p>
        </w:tc>
        <w:tc>
          <w:tcPr>
            <w:tcW w:w="2924" w:type="dxa"/>
          </w:tcPr>
          <w:p>
            <w:pPr/>
            <w:r>
              <w:t xml:space="preserve">Search data (backup)</w:t>
            </w:r>
          </w:p>
        </w:tc>
        <w:tc>
          <w:tcPr>
            <w:tcW w:w="796" w:type="dxa"/>
          </w:tcPr>
          <w:p>
            <w:pPr/>
            <w:r>
              <w:t xml:space="preserve">1:00</w:t>
            </w:r>
          </w:p>
        </w:tc>
        <w:tc>
          <w:tcPr>
            <w:tcW w:w="4920" w:type="dxa"/>
          </w:tcPr>
          <w:p>
            <w:pPr/>
            <w:r>
              <w:t xml:space="preserve">“Customers look for help and for golf more than for generic luxury.”</w:t>
            </w:r>
          </w:p>
        </w:tc>
      </w:tr>
      <w:tr>
        <w:tc>
          <w:tcPr>
            <w:tcW w:w="720" w:type="dxa"/>
          </w:tcPr>
          <w:p>
            <w:pPr/>
            <w:r>
              <w:t xml:space="preserve">10</w:t>
            </w:r>
          </w:p>
        </w:tc>
        <w:tc>
          <w:tcPr>
            <w:tcW w:w="2924" w:type="dxa"/>
          </w:tcPr>
          <w:p>
            <w:pPr/>
            <w:r>
              <w:t xml:space="preserve">Stock process (backup)</w:t>
            </w:r>
          </w:p>
        </w:tc>
        <w:tc>
          <w:tcPr>
            <w:tcW w:w="796" w:type="dxa"/>
          </w:tcPr>
          <w:p>
            <w:pPr/>
            <w:r>
              <w:t xml:space="preserve">1:30</w:t>
            </w:r>
          </w:p>
        </w:tc>
        <w:tc>
          <w:tcPr>
            <w:tcW w:w="4920" w:type="dxa"/>
          </w:tcPr>
          <w:p>
            <w:pPr/>
            <w:r>
              <w:t xml:space="preserve">“Replenishment is reactive, two systems, and online sits outside it.”</w:t>
            </w:r>
          </w:p>
        </w:tc>
      </w:tr>
      <w:tr>
        <w:tc>
          <w:tcPr>
            <w:tcW w:w="720" w:type="dxa"/>
          </w:tcPr>
          <w:p>
            <w:pPr/>
            <w:r>
              <w:t xml:space="preserve">11</w:t>
            </w:r>
          </w:p>
        </w:tc>
        <w:tc>
          <w:tcPr>
            <w:tcW w:w="2924" w:type="dxa"/>
          </w:tcPr>
          <w:p>
            <w:pPr/>
            <w:r>
              <w:t xml:space="preserve">Problem statement</w:t>
            </w:r>
          </w:p>
        </w:tc>
        <w:tc>
          <w:tcPr>
            <w:tcW w:w="796" w:type="dxa"/>
          </w:tcPr>
          <w:p>
            <w:pPr/>
            <w:r>
              <w:t xml:space="preserve">1:30</w:t>
            </w:r>
          </w:p>
        </w:tc>
        <w:tc>
          <w:tcPr>
            <w:tcW w:w="4920" w:type="dxa"/>
          </w:tcPr>
          <w:p>
            <w:pPr/>
            <w:r>
              <w:t xml:space="preserve">“Customers are coming, but each visit is worth less.” Pause and ask if this matches their view.</w:t>
            </w:r>
          </w:p>
        </w:tc>
      </w:tr>
      <w:tr>
        <w:tc>
          <w:tcPr>
            <w:tcW w:w="720" w:type="dxa"/>
          </w:tcPr>
          <w:p>
            <w:pPr/>
            <w:r>
              <w:t xml:space="preserve">12</w:t>
            </w:r>
          </w:p>
        </w:tc>
        <w:tc>
          <w:tcPr>
            <w:tcW w:w="2924" w:type="dxa"/>
          </w:tcPr>
          <w:p>
            <w:pPr/>
            <w:r>
              <w:t xml:space="preserve">Hypotheses</w:t>
            </w:r>
          </w:p>
        </w:tc>
        <w:tc>
          <w:tcPr>
            <w:tcW w:w="796" w:type="dxa"/>
          </w:tcPr>
          <w:p>
            <w:pPr/>
            <w:r>
              <w:t xml:space="preserve">1:00</w:t>
            </w:r>
          </w:p>
        </w:tc>
        <w:tc>
          <w:tcPr>
            <w:tcW w:w="4920" w:type="dxa"/>
          </w:tcPr>
          <w:p>
            <w:pPr/>
            <w:r>
              <w:t xml:space="preserve">“Four hypotheses, each with a person who can confirm or disprove it.”</w:t>
            </w:r>
          </w:p>
        </w:tc>
      </w:tr>
      <w:tr>
        <w:tc>
          <w:tcPr>
            <w:tcW w:w="720" w:type="dxa"/>
          </w:tcPr>
          <w:p>
            <w:pPr/>
            <w:r>
              <w:t xml:space="preserve">13</w:t>
            </w:r>
          </w:p>
        </w:tc>
        <w:tc>
          <w:tcPr>
            <w:tcW w:w="2924" w:type="dxa"/>
          </w:tcPr>
          <w:p>
            <w:pPr/>
            <w:r>
              <w:t xml:space="preserve">Bold idea (BXT)</w:t>
            </w:r>
          </w:p>
        </w:tc>
        <w:tc>
          <w:tcPr>
            <w:tcW w:w="796" w:type="dxa"/>
          </w:tcPr>
          <w:p>
            <w:pPr/>
            <w:r>
              <w:t xml:space="preserve">1:30</w:t>
            </w:r>
          </w:p>
        </w:tc>
        <w:tc>
          <w:tcPr>
            <w:tcW w:w="4920" w:type="dxa"/>
          </w:tcPr>
          <w:p>
            <w:pPr/>
            <w:r>
              <w:t xml:space="preserve">“Virley Everywhere sits where business, experience and technology meet.”</w:t>
            </w:r>
          </w:p>
        </w:tc>
      </w:tr>
      <w:tr>
        <w:tc>
          <w:tcPr>
            <w:tcW w:w="720" w:type="dxa"/>
          </w:tcPr>
          <w:p>
            <w:pPr/>
            <w:r>
              <w:t xml:space="preserve">14</w:t>
            </w:r>
          </w:p>
        </w:tc>
        <w:tc>
          <w:tcPr>
            <w:tcW w:w="2924" w:type="dxa"/>
          </w:tcPr>
          <w:p>
            <w:pPr/>
            <w:r>
              <w:t xml:space="preserve">Client and colleague journey</w:t>
            </w:r>
          </w:p>
        </w:tc>
        <w:tc>
          <w:tcPr>
            <w:tcW w:w="796" w:type="dxa"/>
          </w:tcPr>
          <w:p>
            <w:pPr/>
            <w:r>
              <w:t xml:space="preserve">2:00</w:t>
            </w:r>
          </w:p>
        </w:tc>
        <w:tc>
          <w:tcPr>
            <w:tcW w:w="4920" w:type="dxa"/>
          </w:tcPr>
          <w:p>
            <w:pPr/>
            <w:r>
              <w:t xml:space="preserve">“Follow one client, and the colleague who serves her.” Scribe it live.</w:t>
            </w:r>
          </w:p>
        </w:tc>
      </w:tr>
      <w:tr>
        <w:tc>
          <w:tcPr>
            <w:tcW w:w="720" w:type="dxa"/>
          </w:tcPr>
          <w:p>
            <w:pPr/>
            <w:r>
              <w:t xml:space="preserve">15</w:t>
            </w:r>
          </w:p>
        </w:tc>
        <w:tc>
          <w:tcPr>
            <w:tcW w:w="2924" w:type="dxa"/>
          </w:tcPr>
          <w:p>
            <w:pPr/>
            <w:r>
              <w:t xml:space="preserve">Beyond the brief</w:t>
            </w:r>
          </w:p>
        </w:tc>
        <w:tc>
          <w:tcPr>
            <w:tcW w:w="796" w:type="dxa"/>
          </w:tcPr>
          <w:p>
            <w:pPr/>
            <w:r>
              <w:t xml:space="preserve">1:30</w:t>
            </w:r>
          </w:p>
        </w:tc>
        <w:tc>
          <w:tcPr>
            <w:tcW w:w="4920" w:type="dxa"/>
          </w:tcPr>
          <w:p>
            <w:pPr/>
            <w:r>
              <w:t xml:space="preserve">“Four opportunities the data pack points to that you did not ask about.”</w:t>
            </w:r>
          </w:p>
        </w:tc>
      </w:tr>
      <w:tr>
        <w:tc>
          <w:tcPr>
            <w:tcW w:w="720" w:type="dxa"/>
          </w:tcPr>
          <w:p>
            <w:pPr/>
            <w:r>
              <w:t xml:space="preserve">16</w:t>
            </w:r>
          </w:p>
        </w:tc>
        <w:tc>
          <w:tcPr>
            <w:tcW w:w="2924" w:type="dxa"/>
          </w:tcPr>
          <w:p>
            <w:pPr/>
            <w:r>
              <w:t xml:space="preserve">Technology (backup)</w:t>
            </w:r>
          </w:p>
        </w:tc>
        <w:tc>
          <w:tcPr>
            <w:tcW w:w="796" w:type="dxa"/>
          </w:tcPr>
          <w:p>
            <w:pPr/>
            <w:r>
              <w:t xml:space="preserve">1:00</w:t>
            </w:r>
          </w:p>
        </w:tc>
        <w:tc>
          <w:tcPr>
            <w:tcW w:w="4920" w:type="dxa"/>
          </w:tcPr>
          <w:p>
            <w:pPr/>
            <w:r>
              <w:t xml:space="preserve">“Technology serves the experience. The first dependency is an interim IT leader.”</w:t>
            </w:r>
          </w:p>
        </w:tc>
      </w:tr>
      <w:tr>
        <w:tc>
          <w:tcPr>
            <w:tcW w:w="720" w:type="dxa"/>
          </w:tcPr>
          <w:p>
            <w:pPr/>
            <w:r>
              <w:t xml:space="preserve">17</w:t>
            </w:r>
          </w:p>
        </w:tc>
        <w:tc>
          <w:tcPr>
            <w:tcW w:w="2924" w:type="dxa"/>
          </w:tcPr>
          <w:p>
            <w:pPr/>
            <w:r>
              <w:t xml:space="preserve">Business case</w:t>
            </w:r>
          </w:p>
        </w:tc>
        <w:tc>
          <w:tcPr>
            <w:tcW w:w="796" w:type="dxa"/>
          </w:tcPr>
          <w:p>
            <w:pPr/>
            <w:r>
              <w:t xml:space="preserve">1:00</w:t>
            </w:r>
          </w:p>
        </w:tc>
        <w:tc>
          <w:tcPr>
            <w:tcW w:w="4920" w:type="dxa"/>
          </w:tcPr>
          <w:p>
            <w:pPr/>
            <w:r>
              <w:t xml:space="preserve">“£24.8m closes the gap; £2bn needs 9.6% a year. This is arithmetic, not a forecast.”</w:t>
            </w:r>
          </w:p>
        </w:tc>
      </w:tr>
      <w:tr>
        <w:tc>
          <w:tcPr>
            <w:tcW w:w="720" w:type="dxa"/>
          </w:tcPr>
          <w:p>
            <w:pPr/>
            <w:r>
              <w:t xml:space="preserve">18</w:t>
            </w:r>
          </w:p>
        </w:tc>
        <w:tc>
          <w:tcPr>
            <w:tcW w:w="2924" w:type="dxa"/>
          </w:tcPr>
          <w:p>
            <w:pPr/>
            <w:r>
              <w:t xml:space="preserve">Co-creation</w:t>
            </w:r>
          </w:p>
        </w:tc>
        <w:tc>
          <w:tcPr>
            <w:tcW w:w="796" w:type="dxa"/>
          </w:tcPr>
          <w:p>
            <w:pPr/>
            <w:r>
              <w:t xml:space="preserve">15:00</w:t>
            </w:r>
          </w:p>
        </w:tc>
        <w:tc>
          <w:tcPr>
            <w:tcW w:w="4920" w:type="dxa"/>
          </w:tcPr>
          <w:p>
            <w:pPr/>
            <w:r>
              <w:t xml:space="preserve">Run the three steps. Keep to 10 minutes in a 30-minute slot.</w:t>
            </w:r>
          </w:p>
        </w:tc>
      </w:tr>
      <w:tr>
        <w:tc>
          <w:tcPr>
            <w:tcW w:w="720" w:type="dxa"/>
          </w:tcPr>
          <w:p>
            <w:pPr/>
            <w:r>
              <w:t xml:space="preserve">19</w:t>
            </w:r>
          </w:p>
        </w:tc>
        <w:tc>
          <w:tcPr>
            <w:tcW w:w="2924" w:type="dxa"/>
          </w:tcPr>
          <w:p>
            <w:pPr/>
            <w:r>
              <w:t xml:space="preserve">Roadmap</w:t>
            </w:r>
          </w:p>
        </w:tc>
        <w:tc>
          <w:tcPr>
            <w:tcW w:w="796" w:type="dxa"/>
          </w:tcPr>
          <w:p>
            <w:pPr/>
            <w:r>
              <w:t xml:space="preserve">1:00</w:t>
            </w:r>
          </w:p>
        </w:tc>
        <w:tc>
          <w:tcPr>
            <w:tcW w:w="4920" w:type="dxa"/>
          </w:tcPr>
          <w:p>
            <w:pPr/>
            <w:r>
              <w:t xml:space="preserve">“Foundations in 100 days, proof by month twelve, scale in year two.”</w:t>
            </w:r>
          </w:p>
        </w:tc>
      </w:tr>
      <w:tr>
        <w:tc>
          <w:tcPr>
            <w:tcW w:w="720" w:type="dxa"/>
          </w:tcPr>
          <w:p>
            <w:pPr/>
            <w:r>
              <w:t xml:space="preserve">20</w:t>
            </w:r>
          </w:p>
        </w:tc>
        <w:tc>
          <w:tcPr>
            <w:tcW w:w="2924" w:type="dxa"/>
          </w:tcPr>
          <w:p>
            <w:pPr/>
            <w:r>
              <w:t xml:space="preserve">Leaders (backup)</w:t>
            </w:r>
          </w:p>
        </w:tc>
        <w:tc>
          <w:tcPr>
            <w:tcW w:w="796" w:type="dxa"/>
          </w:tcPr>
          <w:p>
            <w:pPr/>
            <w:r>
              <w:t xml:space="preserve">1:00</w:t>
            </w:r>
          </w:p>
        </w:tc>
        <w:tc>
          <w:tcPr>
            <w:tcW w:w="4920" w:type="dxa"/>
          </w:tcPr>
          <w:p>
            <w:pPr/>
            <w:r>
              <w:t xml:space="preserve">“Each of you gets what you need, and the board gets one fact base.”</w:t>
            </w:r>
          </w:p>
        </w:tc>
      </w:tr>
      <w:tr>
        <w:tc>
          <w:tcPr>
            <w:tcW w:w="720" w:type="dxa"/>
          </w:tcPr>
          <w:p>
            <w:pPr/>
            <w:r>
              <w:t xml:space="preserve">21</w:t>
            </w:r>
          </w:p>
        </w:tc>
        <w:tc>
          <w:tcPr>
            <w:tcW w:w="2924" w:type="dxa"/>
          </w:tcPr>
          <w:p>
            <w:pPr/>
            <w:r>
              <w:t xml:space="preserve">Decisions</w:t>
            </w:r>
          </w:p>
        </w:tc>
        <w:tc>
          <w:tcPr>
            <w:tcW w:w="796" w:type="dxa"/>
          </w:tcPr>
          <w:p>
            <w:pPr/>
            <w:r>
              <w:t xml:space="preserve">1:00</w:t>
            </w:r>
          </w:p>
        </w:tc>
        <w:tc>
          <w:tcPr>
            <w:tcW w:w="4920" w:type="dxa"/>
          </w:tcPr>
          <w:p>
            <w:pPr/>
            <w:r>
              <w:t xml:space="preserve">“Three decisions today, and facts within 30 days.”</w:t>
            </w:r>
          </w:p>
        </w:tc>
      </w:tr>
    </w:tbl>
    <w:p>
      <w:pPr/>
      <w:r>
        <w:rPr>
          <w:b/>
        </w:rPr>
        <w:t xml:space="preserve">Delivery notes</w:t>
      </w:r>
    </w:p>
    <w:p>
      <w:pPr>
        <w:pStyle w:val="ListParagraph"/>
        <w:numPr>
          <w:ilvl w:val="0"/>
          <w:numId w:val="2"/>
        </w:numPr>
      </w:pPr>
      <w:r>
        <w:t xml:space="preserve">Open with the answer, then pause after slide 6 and ask Jack and Ashley whether the reframe matches their view.</w:t>
      </w:r>
    </w:p>
    <w:p>
      <w:pPr>
        <w:pStyle w:val="ListParagraph"/>
        <w:numPr>
          <w:ilvl w:val="0"/>
          <w:numId w:val="2"/>
        </w:numPr>
      </w:pPr>
      <w:r>
        <w:t xml:space="preserve">Tell slide 9 as a story with a named client, and draw it as you go.</w:t>
      </w:r>
    </w:p>
    <w:p>
      <w:pPr>
        <w:pStyle w:val="ListParagraph"/>
        <w:numPr>
          <w:ilvl w:val="0"/>
          <w:numId w:val="2"/>
        </w:numPr>
      </w:pPr>
      <w:r>
        <w:t xml:space="preserve">Use their own words from the case notes, and avoid consulting jargon.</w:t>
      </w:r>
    </w:p>
    <w:p>
      <w:pPr>
        <w:pStyle w:val="ListParagraph"/>
        <w:numPr>
          <w:ilvl w:val="0"/>
          <w:numId w:val="2"/>
        </w:numPr>
      </w:pPr>
      <w:r>
        <w:t xml:space="preserve">Treat market figures as external benchmarks and say V&amp;S benchmarking comes next.</w:t>
      </w:r>
    </w:p>
    <w:p>
      <w:pPr>
        <w:pStyle w:val="Heading2"/>
      </w:pPr>
      <w:r>
        <w:t xml:space="preserve">Q&amp;A prep</w:t>
      </w:r>
    </w:p>
    <w:p>
      <w:pPr/>
      <w:r>
        <w:t xml:space="preserve">Rehearse these ten questions. Each answer stays within what the case notes and our research support, and says “to be validated” where a number is not yet sized.</w:t>
      </w:r>
    </w:p>
    <w:tbl>
      <w:tblPr>
        <w:tblStyle w:val="TableGrid"/>
        <w:tblW w:w="0" w:type="auto"/>
        <w:tblLayout w:type="fixed"/>
        <w:tblLook w:val="04A0" w:firstRow="1" w:lastRow="0" w:firstColumn="0" w:lastColumn="0" w:noHBand="0" w:noVBand="1"/>
      </w:tblPr>
      <w:tblGrid>
        <w:gridCol w:w="2970"/>
        <w:gridCol w:w="1470"/>
        <w:gridCol w:w="4920"/>
      </w:tblGrid>
      <w:tr>
        <w:trPr>
          <w:tblHeader/>
        </w:trPr>
        <w:tc>
          <w:tcPr>
            <w:tcW w:w="2970" w:type="dxa"/>
            <w:shd w:val="clear" w:color="auto" w:fill="F2F2F2"/>
          </w:tcPr>
          <w:p>
            <w:pPr/>
            <w:r>
              <w:t xml:space="preserve">Question</w:t>
            </w:r>
          </w:p>
        </w:tc>
        <w:tc>
          <w:tcPr>
            <w:tcW w:w="1470" w:type="dxa"/>
            <w:shd w:val="clear" w:color="auto" w:fill="F2F2F2"/>
          </w:tcPr>
          <w:p>
            <w:pPr/>
            <w:r>
              <w:t xml:space="preserve">Likely from</w:t>
            </w:r>
          </w:p>
        </w:tc>
        <w:tc>
          <w:tcPr>
            <w:tcW w:w="4920" w:type="dxa"/>
            <w:shd w:val="clear" w:color="auto" w:fill="F2F2F2"/>
          </w:tcPr>
          <w:p>
            <w:pPr/>
            <w:r>
              <w:t xml:space="preserve">Suggested answer</w:t>
            </w:r>
          </w:p>
        </w:tc>
      </w:tr>
      <w:tr>
        <w:tc>
          <w:tcPr>
            <w:tcW w:w="2970" w:type="dxa"/>
          </w:tcPr>
          <w:p>
            <w:pPr/>
            <w:r>
              <w:t xml:space="preserve">Why not close the stores and go online?</w:t>
            </w:r>
          </w:p>
        </w:tc>
        <w:tc>
          <w:tcPr>
            <w:tcW w:w="1470" w:type="dxa"/>
          </w:tcPr>
          <w:p>
            <w:pPr/>
            <w:r>
              <w:t xml:space="preserve">Jack</w:t>
            </w:r>
          </w:p>
        </w:tc>
        <w:tc>
          <w:tcPr>
            <w:tcW w:w="4920" w:type="dxa"/>
          </w:tcPr>
          <w:p>
            <w:pPr/>
            <w:r>
              <w:t xml:space="preserve">Stores convert far better than online in fashion retail benchmarks (typically 20–40% vs 1–3%), and luxury clients still value the physical experience. We will test each store’s role before any closure decision, and online stays the growth engine.</w:t>
            </w:r>
          </w:p>
        </w:tc>
      </w:tr>
      <w:tr>
        <w:tc>
          <w:tcPr>
            <w:tcW w:w="2970" w:type="dxa"/>
          </w:tcPr>
          <w:p>
            <w:pPr/>
            <w:r>
              <w:t xml:space="preserve">Can we really reach £2bn and 10%?</w:t>
            </w:r>
          </w:p>
        </w:tc>
        <w:tc>
          <w:tcPr>
            <w:tcW w:w="1470" w:type="dxa"/>
          </w:tcPr>
          <w:p>
            <w:pPr/>
            <w:r>
              <w:t xml:space="preserve">Jack</w:t>
            </w:r>
          </w:p>
        </w:tc>
        <w:tc>
          <w:tcPr>
            <w:tcW w:w="4920" w:type="dxa"/>
          </w:tcPr>
          <w:p>
            <w:pPr/>
            <w:r>
              <w:t xml:space="preserve">Not yet known. Benchmarking and a store-level baseline in the next 30 days will size the levers, and we will not promise a number before then.</w:t>
            </w:r>
          </w:p>
        </w:tc>
      </w:tr>
      <w:tr>
        <w:tc>
          <w:tcPr>
            <w:tcW w:w="2970" w:type="dxa"/>
          </w:tcPr>
          <w:p>
            <w:pPr/>
            <w:r>
              <w:t xml:space="preserve">Why wait on a web-only acquisition?</w:t>
            </w:r>
          </w:p>
        </w:tc>
        <w:tc>
          <w:tcPr>
            <w:tcW w:w="1470" w:type="dxa"/>
          </w:tcPr>
          <w:p>
            <w:pPr/>
            <w:r>
              <w:t xml:space="preserve">Jack</w:t>
            </w:r>
          </w:p>
        </w:tc>
        <w:tc>
          <w:tcPr>
            <w:tcW w:w="4920" w:type="dxa"/>
          </w:tcPr>
          <w:p>
            <w:pPr/>
            <w:r>
              <w:t xml:space="preserve">The foundations (IT leadership, delivery and returns, one stock view) must be able to absorb it. We propose a decision in year two and will advise on timing and capability once the facts are in.</w:t>
            </w:r>
          </w:p>
        </w:tc>
      </w:tr>
      <w:tr>
        <w:tc>
          <w:tcPr>
            <w:tcW w:w="2970" w:type="dxa"/>
          </w:tcPr>
          <w:p>
            <w:pPr/>
            <w:r>
              <w:t xml:space="preserve">Why is this different from the sales push already under way?</w:t>
            </w:r>
          </w:p>
        </w:tc>
        <w:tc>
          <w:tcPr>
            <w:tcW w:w="1470" w:type="dxa"/>
          </w:tcPr>
          <w:p>
            <w:pPr/>
            <w:r>
              <w:t xml:space="preserve">Both</w:t>
            </w:r>
          </w:p>
        </w:tc>
        <w:tc>
          <w:tcPr>
            <w:tcW w:w="4920" w:type="dxa"/>
          </w:tcPr>
          <w:p>
            <w:pPr/>
            <w:r>
              <w:t xml:space="preserve">The push asks stores to sell harder. Our hypotheses say the limit sits in delivery, systems and incentives, so fixing those lets the push work.</w:t>
            </w:r>
          </w:p>
        </w:tc>
      </w:tr>
      <w:tr>
        <w:tc>
          <w:tcPr>
            <w:tcW w:w="2970" w:type="dxa"/>
          </w:tcPr>
          <w:p>
            <w:pPr/>
            <w:r>
              <w:t xml:space="preserve">Should we keep investing in Edinburgh?</w:t>
            </w:r>
          </w:p>
        </w:tc>
        <w:tc>
          <w:tcPr>
            <w:tcW w:w="1470" w:type="dxa"/>
          </w:tcPr>
          <w:p>
            <w:pPr/>
            <w:r>
              <w:t xml:space="preserve">Both</w:t>
            </w:r>
          </w:p>
        </w:tc>
        <w:tc>
          <w:tcPr>
            <w:tcW w:w="4920" w:type="dxa"/>
          </w:tcPr>
          <w:p>
            <w:pPr/>
            <w:r>
              <w:t xml:space="preserve">Set clear improvement milestones and review at fixed points. Attention has been concentrated there, the GM seat is vacant and inventory and IT issues are known.</w:t>
            </w:r>
          </w:p>
        </w:tc>
      </w:tr>
      <w:tr>
        <w:tc>
          <w:tcPr>
            <w:tcW w:w="2970" w:type="dxa"/>
          </w:tcPr>
          <w:p>
            <w:pPr/>
            <w:r>
              <w:t xml:space="preserve">Why put technology into stores before fixing online?</w:t>
            </w:r>
          </w:p>
        </w:tc>
        <w:tc>
          <w:tcPr>
            <w:tcW w:w="1470" w:type="dxa"/>
          </w:tcPr>
          <w:p>
            <w:pPr/>
            <w:r>
              <w:t xml:space="preserve">Jack</w:t>
            </w:r>
          </w:p>
        </w:tc>
        <w:tc>
          <w:tcPr>
            <w:tcW w:w="4920" w:type="dxa"/>
          </w:tcPr>
          <w:p>
            <w:pPr/>
            <w:r>
              <w:t xml:space="preserve">Both run on the same foundations, so we start with those. London is the proving ground, and the delivery and returns fixes are in the first 100 days.</w:t>
            </w:r>
          </w:p>
        </w:tc>
      </w:tr>
      <w:tr>
        <w:tc>
          <w:tcPr>
            <w:tcW w:w="2970" w:type="dxa"/>
          </w:tcPr>
          <w:p>
            <w:pPr/>
            <w:r>
              <w:t xml:space="preserve">What happens to Orlando while Edinburgh gets the attention?</w:t>
            </w:r>
          </w:p>
        </w:tc>
        <w:tc>
          <w:tcPr>
            <w:tcW w:w="1470" w:type="dxa"/>
          </w:tcPr>
          <w:p>
            <w:pPr/>
            <w:r>
              <w:t xml:space="preserve">Jack</w:t>
            </w:r>
          </w:p>
        </w:tc>
        <w:tc>
          <w:tcPr>
            <w:tcW w:w="4920" w:type="dxa"/>
          </w:tcPr>
          <w:p>
            <w:pPr/>
            <w:r>
              <w:t xml:space="preserve">Give it a defined role and regular review so it does not flounder, which Jack raised. Ashley’s Orlando team is seen as competent in the meantime.</w:t>
            </w:r>
          </w:p>
        </w:tc>
      </w:tr>
      <w:tr>
        <w:tc>
          <w:tcPr>
            <w:tcW w:w="2970" w:type="dxa"/>
          </w:tcPr>
          <w:p>
            <w:pPr/>
            <w:r>
              <w:t xml:space="preserve">What will this cost?</w:t>
            </w:r>
          </w:p>
        </w:tc>
        <w:tc>
          <w:tcPr>
            <w:tcW w:w="1470" w:type="dxa"/>
          </w:tcPr>
          <w:p>
            <w:pPr/>
            <w:r>
              <w:t xml:space="preserve">Both</w:t>
            </w:r>
          </w:p>
        </w:tc>
        <w:tc>
          <w:tcPr>
            <w:tcW w:w="4920" w:type="dxa"/>
          </w:tcPr>
          <w:p>
            <w:pPr/>
            <w:r>
              <w:t xml:space="preserve">Not sized yet. The first 100 days are mainly benchmarking, quick wins and an interim IT lead. We return with a costed plan after the 30-day facts.</w:t>
            </w:r>
          </w:p>
        </w:tc>
      </w:tr>
      <w:tr>
        <w:tc>
          <w:tcPr>
            <w:tcW w:w="2970" w:type="dxa"/>
          </w:tcPr>
          <w:p>
            <w:pPr/>
            <w:r>
              <w:t xml:space="preserve">How does COVID-19 change the plan?</w:t>
            </w:r>
          </w:p>
        </w:tc>
        <w:tc>
          <w:tcPr>
            <w:tcW w:w="1470" w:type="dxa"/>
          </w:tcPr>
          <w:p>
            <w:pPr/>
            <w:r>
              <w:t xml:space="preserve">Both</w:t>
            </w:r>
          </w:p>
        </w:tc>
        <w:tc>
          <w:tcPr>
            <w:tcW w:w="4920" w:type="dxa"/>
          </w:tcPr>
          <w:p>
            <w:pPr/>
            <w:r>
              <w:t xml:space="preserve">Jack sees changing consumer behaviour and supply chains, and Ashley sees limited impact. We test it in the data, and the phased plan can flex.</w:t>
            </w:r>
          </w:p>
        </w:tc>
      </w:tr>
      <w:tr>
        <w:tc>
          <w:tcPr>
            <w:tcW w:w="2970" w:type="dxa"/>
          </w:tcPr>
          <w:p>
            <w:pPr/>
            <w:r>
              <w:t xml:space="preserve">Who leads this inside V&amp;S, and how do we settle the board’s disagreement?</w:t>
            </w:r>
          </w:p>
        </w:tc>
        <w:tc>
          <w:tcPr>
            <w:tcW w:w="1470" w:type="dxa"/>
          </w:tcPr>
          <w:p>
            <w:pPr/>
            <w:r>
              <w:t xml:space="preserve">Both</w:t>
            </w:r>
          </w:p>
        </w:tc>
        <w:tc>
          <w:tcPr>
            <w:tcW w:w="4920" w:type="dxa"/>
          </w:tcPr>
          <w:p>
            <w:pPr/>
            <w:r>
              <w:t xml:space="preserve">Ask Jack and Ashley to name sponsors today. A board workshop built on one shared fact base and shared KPIs settles the debate.</w:t>
            </w:r>
          </w:p>
        </w:tc>
      </w:tr>
    </w:tbl>
    <w:p>
      <w:pPr/>
      <w:r>
        <w:rPr>
          <w:b/>
        </w:rPr>
        <w:t xml:space="preserve">Data questions to expect</w:t>
      </w:r>
    </w:p>
    <w:p>
      <w:pPr>
        <w:pStyle w:val="ListParagraph"/>
        <w:numPr>
          <w:ilvl w:val="0"/>
          <w:numId w:val="3"/>
        </w:numPr>
      </w:pPr>
      <w:r>
        <w:t xml:space="preserve">Why is Orlando’s margin 15.5% if its sales fell 9%? Answer: cost allocation may differ and its profit nearly halved; we will check before treating it as a model.</w:t>
      </w:r>
    </w:p>
    <w:p>
      <w:pPr>
        <w:pStyle w:val="ListParagraph"/>
        <w:numPr>
          <w:ilvl w:val="0"/>
          <w:numId w:val="3"/>
        </w:numPr>
      </w:pPr>
      <w:r>
        <w:t xml:space="preserve">Does “UK profit” in the sales sheet match the P&amp;L? Answer: no, the definition is unclear and we have asked for it.</w:t>
      </w:r>
    </w:p>
    <w:p>
      <w:pPr>
        <w:pStyle w:val="ListParagraph"/>
        <w:numPr>
          <w:ilvl w:val="0"/>
          <w:numId w:val="3"/>
        </w:numPr>
      </w:pPr>
      <w:r>
        <w:t xml:space="preserve">Is 9.6% growth a year realistic? Answer: it is the arithmetic of £2bn in five years; store sales fell 1.1% last year, so growth must come from value per visit and online.</w:t>
      </w:r>
    </w:p>
    <w:p>
      <w:pPr>
        <w:pStyle w:val="ListParagraph"/>
        <w:numPr>
          <w:ilvl w:val="0"/>
          <w:numId w:val="3"/>
        </w:numPr>
      </w:pPr>
      <w:r>
        <w:t xml:space="preserve">Why golf? Answer: 105,384 visits came from one golf keyword, but we treat it as a test, not a strategy.</w:t>
      </w:r>
    </w:p>
    <w:p>
      <w:pPr>
        <w:pStyle w:val="Heading2"/>
      </w:pPr>
      <w:r>
        <w:t xml:space="preserve">Interview guide: reframing questions</w:t>
      </w:r>
    </w:p>
    <w:p>
      <w:pPr/>
      <w:r>
        <w:t xml:space="preserve">The email expects initial thoughts on the reframing to be shared with Jack and Ashley on Day 1 (26 October) and the directors to be met on Day 2 (27 October). Open each Day 1 interview with this: “Our first read is that customers are coming, but each visit is worth less. We think the opportunity is one Virley experience in every channel. What would you change or challenge?”</w:t>
      </w:r>
    </w:p>
    <w:tbl>
      <w:tblPr>
        <w:tblStyle w:val="TableGrid"/>
        <w:tblW w:w="0" w:type="auto"/>
        <w:tblLayout w:type="fixed"/>
        <w:tblLook w:val="04A0" w:firstRow="1" w:lastRow="0" w:firstColumn="0" w:lastColumn="0" w:noHBand="0" w:noVBand="1"/>
      </w:tblPr>
      <w:tblGrid>
        <w:gridCol w:w="1040"/>
        <w:gridCol w:w="790"/>
        <w:gridCol w:w="5401"/>
        <w:gridCol w:w="2127"/>
      </w:tblGrid>
      <w:tr>
        <w:trPr>
          <w:tblHeader/>
        </w:trPr>
        <w:tc>
          <w:tcPr>
            <w:tcW w:w="1040" w:type="dxa"/>
            <w:shd w:val="clear" w:color="auto" w:fill="F2F2F2"/>
          </w:tcPr>
          <w:p>
            <w:pPr/>
            <w:r>
              <w:t xml:space="preserve">Who</w:t>
            </w:r>
          </w:p>
        </w:tc>
        <w:tc>
          <w:tcPr>
            <w:tcW w:w="790" w:type="dxa"/>
            <w:shd w:val="clear" w:color="auto" w:fill="F2F2F2"/>
          </w:tcPr>
          <w:p>
            <w:pPr/>
            <w:r>
              <w:t xml:space="preserve">Day</w:t>
            </w:r>
          </w:p>
        </w:tc>
        <w:tc>
          <w:tcPr>
            <w:tcW w:w="5401" w:type="dxa"/>
            <w:shd w:val="clear" w:color="auto" w:fill="F2F2F2"/>
          </w:tcPr>
          <w:p>
            <w:pPr/>
            <w:r>
              <w:t xml:space="preserve">Question</w:t>
            </w:r>
          </w:p>
        </w:tc>
        <w:tc>
          <w:tcPr>
            <w:tcW w:w="2127" w:type="dxa"/>
            <w:shd w:val="clear" w:color="auto" w:fill="F2F2F2"/>
          </w:tcPr>
          <w:p>
            <w:pPr/>
            <w:r>
              <w:t xml:space="preserve">Tests</w:t>
            </w:r>
          </w:p>
        </w:tc>
      </w:tr>
      <w:tr>
        <w:tc>
          <w:tcPr>
            <w:tcW w:w="1040" w:type="dxa"/>
          </w:tcPr>
          <w:p>
            <w:pPr/>
            <w:r>
              <w:t xml:space="preserve">Jack</w:t>
            </w:r>
          </w:p>
        </w:tc>
        <w:tc>
          <w:tcPr>
            <w:tcW w:w="790" w:type="dxa"/>
          </w:tcPr>
          <w:p>
            <w:pPr/>
            <w:r>
              <w:t xml:space="preserve">1</w:t>
            </w:r>
          </w:p>
        </w:tc>
        <w:tc>
          <w:tcPr>
            <w:tcW w:w="5401" w:type="dxa"/>
          </w:tcPr>
          <w:p>
            <w:pPr/>
            <w:r>
              <w:t xml:space="preserve">If V&amp;S hit £2bn and 10% in five years, what would a client notice that is different?</w:t>
            </w:r>
          </w:p>
        </w:tc>
        <w:tc>
          <w:tcPr>
            <w:tcW w:w="2127" w:type="dxa"/>
          </w:tcPr>
          <w:p>
            <w:pPr/>
            <w:r>
              <w:t xml:space="preserve">Reframe</w:t>
            </w:r>
          </w:p>
        </w:tc>
      </w:tr>
      <w:tr>
        <w:tc>
          <w:tcPr>
            <w:tcW w:w="1040" w:type="dxa"/>
          </w:tcPr>
          <w:p>
            <w:pPr/>
            <w:r>
              <w:t xml:space="preserve">Jack</w:t>
            </w:r>
          </w:p>
        </w:tc>
        <w:tc>
          <w:tcPr>
            <w:tcW w:w="790" w:type="dxa"/>
          </w:tcPr>
          <w:p>
            <w:pPr/>
            <w:r>
              <w:t xml:space="preserve">1</w:t>
            </w:r>
          </w:p>
        </w:tc>
        <w:tc>
          <w:tcPr>
            <w:tcW w:w="5401" w:type="dxa"/>
          </w:tcPr>
          <w:p>
            <w:pPr/>
            <w:r>
              <w:t xml:space="preserve">What would make you close a store, and what would make you keep one?</w:t>
            </w:r>
          </w:p>
        </w:tc>
        <w:tc>
          <w:tcPr>
            <w:tcW w:w="2127" w:type="dxa"/>
          </w:tcPr>
          <w:p>
            <w:pPr/>
            <w:r>
              <w:t xml:space="preserve">Channel roles</w:t>
            </w:r>
          </w:p>
        </w:tc>
      </w:tr>
      <w:tr>
        <w:tc>
          <w:tcPr>
            <w:tcW w:w="1040" w:type="dxa"/>
          </w:tcPr>
          <w:p>
            <w:pPr/>
            <w:r>
              <w:t xml:space="preserve">Jack</w:t>
            </w:r>
          </w:p>
        </w:tc>
        <w:tc>
          <w:tcPr>
            <w:tcW w:w="790" w:type="dxa"/>
          </w:tcPr>
          <w:p>
            <w:pPr/>
            <w:r>
              <w:t xml:space="preserve">1</w:t>
            </w:r>
          </w:p>
        </w:tc>
        <w:tc>
          <w:tcPr>
            <w:tcW w:w="5401" w:type="dxa"/>
          </w:tcPr>
          <w:p>
            <w:pPr/>
            <w:r>
              <w:t xml:space="preserve">What is the web-only acquisition meant to solve, and what must be true first?</w:t>
            </w:r>
          </w:p>
        </w:tc>
        <w:tc>
          <w:tcPr>
            <w:tcW w:w="2127" w:type="dxa"/>
          </w:tcPr>
          <w:p>
            <w:pPr/>
            <w:r>
              <w:t xml:space="preserve">Timing</w:t>
            </w:r>
          </w:p>
        </w:tc>
      </w:tr>
      <w:tr>
        <w:tc>
          <w:tcPr>
            <w:tcW w:w="1040" w:type="dxa"/>
          </w:tcPr>
          <w:p>
            <w:pPr/>
            <w:r>
              <w:t xml:space="preserve">Ashley</w:t>
            </w:r>
          </w:p>
        </w:tc>
        <w:tc>
          <w:tcPr>
            <w:tcW w:w="790" w:type="dxa"/>
          </w:tcPr>
          <w:p>
            <w:pPr/>
            <w:r>
              <w:t xml:space="preserve">1</w:t>
            </w:r>
          </w:p>
        </w:tc>
        <w:tc>
          <w:tcPr>
            <w:tcW w:w="5401" w:type="dxa"/>
          </w:tcPr>
          <w:p>
            <w:pPr/>
            <w:r>
              <w:t xml:space="preserve">Where does a visit lose value today: greeting, advice, stock or checkout?</w:t>
            </w:r>
          </w:p>
        </w:tc>
        <w:tc>
          <w:tcPr>
            <w:tcW w:w="2127" w:type="dxa"/>
          </w:tcPr>
          <w:p>
            <w:pPr/>
            <w:r>
              <w:t xml:space="preserve">1</w:t>
            </w:r>
          </w:p>
        </w:tc>
      </w:tr>
      <w:tr>
        <w:tc>
          <w:tcPr>
            <w:tcW w:w="1040" w:type="dxa"/>
          </w:tcPr>
          <w:p>
            <w:pPr/>
            <w:r>
              <w:t xml:space="preserve">Ashley</w:t>
            </w:r>
          </w:p>
        </w:tc>
        <w:tc>
          <w:tcPr>
            <w:tcW w:w="790" w:type="dxa"/>
          </w:tcPr>
          <w:p>
            <w:pPr/>
            <w:r>
              <w:t xml:space="preserve">1</w:t>
            </w:r>
          </w:p>
        </w:tc>
        <w:tc>
          <w:tcPr>
            <w:tcW w:w="5401" w:type="dxa"/>
          </w:tcPr>
          <w:p>
            <w:pPr/>
            <w:r>
              <w:t xml:space="preserve">Why did London’s number of sales rise 7% while value per sale fell 13%?</w:t>
            </w:r>
          </w:p>
        </w:tc>
        <w:tc>
          <w:tcPr>
            <w:tcW w:w="2127" w:type="dxa"/>
          </w:tcPr>
          <w:p>
            <w:pPr/>
            <w:r>
              <w:t xml:space="preserve">1</w:t>
            </w:r>
          </w:p>
        </w:tc>
      </w:tr>
      <w:tr>
        <w:tc>
          <w:tcPr>
            <w:tcW w:w="1040" w:type="dxa"/>
          </w:tcPr>
          <w:p>
            <w:pPr/>
            <w:r>
              <w:t xml:space="preserve">Ashley</w:t>
            </w:r>
          </w:p>
        </w:tc>
        <w:tc>
          <w:tcPr>
            <w:tcW w:w="790" w:type="dxa"/>
          </w:tcPr>
          <w:p>
            <w:pPr/>
            <w:r>
              <w:t xml:space="preserve">1</w:t>
            </w:r>
          </w:p>
        </w:tc>
        <w:tc>
          <w:tcPr>
            <w:tcW w:w="5401" w:type="dxa"/>
          </w:tcPr>
          <w:p>
            <w:pPr/>
            <w:r>
              <w:t xml:space="preserve">What does it cost when stock is low on the shop floor or doubled up for online?</w:t>
            </w:r>
          </w:p>
        </w:tc>
        <w:tc>
          <w:tcPr>
            <w:tcW w:w="2127" w:type="dxa"/>
          </w:tcPr>
          <w:p>
            <w:pPr/>
            <w:r>
              <w:t xml:space="preserve">3</w:t>
            </w:r>
          </w:p>
        </w:tc>
      </w:tr>
      <w:tr>
        <w:tc>
          <w:tcPr>
            <w:tcW w:w="1040" w:type="dxa"/>
          </w:tcPr>
          <w:p>
            <w:pPr/>
            <w:r>
              <w:t xml:space="preserve">Ashley</w:t>
            </w:r>
          </w:p>
        </w:tc>
        <w:tc>
          <w:tcPr>
            <w:tcW w:w="790" w:type="dxa"/>
          </w:tcPr>
          <w:p>
            <w:pPr/>
            <w:r>
              <w:t xml:space="preserve">1</w:t>
            </w:r>
          </w:p>
        </w:tc>
        <w:tc>
          <w:tcPr>
            <w:tcW w:w="5401" w:type="dxa"/>
          </w:tcPr>
          <w:p>
            <w:pPr/>
            <w:r>
              <w:t xml:space="preserve">What would store teams stop doing if the data lived in one place?</w:t>
            </w:r>
          </w:p>
        </w:tc>
        <w:tc>
          <w:tcPr>
            <w:tcW w:w="2127" w:type="dxa"/>
          </w:tcPr>
          <w:p>
            <w:pPr/>
            <w:r>
              <w:t xml:space="preserve">3</w:t>
            </w:r>
          </w:p>
        </w:tc>
      </w:tr>
      <w:tr>
        <w:tc>
          <w:tcPr>
            <w:tcW w:w="1040" w:type="dxa"/>
          </w:tcPr>
          <w:p>
            <w:pPr/>
            <w:r>
              <w:t xml:space="preserve">Jesse</w:t>
            </w:r>
          </w:p>
        </w:tc>
        <w:tc>
          <w:tcPr>
            <w:tcW w:w="790" w:type="dxa"/>
          </w:tcPr>
          <w:p>
            <w:pPr/>
            <w:r>
              <w:t xml:space="preserve">2</w:t>
            </w:r>
          </w:p>
        </w:tc>
        <w:tc>
          <w:tcPr>
            <w:tcW w:w="5401" w:type="dxa"/>
          </w:tcPr>
          <w:p>
            <w:pPr/>
            <w:r>
              <w:t xml:space="preserve">How do you decide Type B replenishment, and with what data?</w:t>
            </w:r>
          </w:p>
        </w:tc>
        <w:tc>
          <w:tcPr>
            <w:tcW w:w="2127" w:type="dxa"/>
          </w:tcPr>
          <w:p>
            <w:pPr/>
            <w:r>
              <w:t xml:space="preserve">3, 4</w:t>
            </w:r>
          </w:p>
        </w:tc>
      </w:tr>
      <w:tr>
        <w:tc>
          <w:tcPr>
            <w:tcW w:w="1040" w:type="dxa"/>
          </w:tcPr>
          <w:p>
            <w:pPr/>
            <w:r>
              <w:t xml:space="preserve">Jesse</w:t>
            </w:r>
          </w:p>
        </w:tc>
        <w:tc>
          <w:tcPr>
            <w:tcW w:w="790" w:type="dxa"/>
          </w:tcPr>
          <w:p>
            <w:pPr/>
            <w:r>
              <w:t xml:space="preserve">2</w:t>
            </w:r>
          </w:p>
        </w:tc>
        <w:tc>
          <w:tcPr>
            <w:tcW w:w="5401" w:type="dxa"/>
          </w:tcPr>
          <w:p>
            <w:pPr/>
            <w:r>
              <w:t xml:space="preserve">How are you measured, on sales or margin, and what would change if margin counted?</w:t>
            </w:r>
          </w:p>
        </w:tc>
        <w:tc>
          <w:tcPr>
            <w:tcW w:w="2127" w:type="dxa"/>
          </w:tcPr>
          <w:p>
            <w:pPr/>
            <w:r>
              <w:t xml:space="preserve">4</w:t>
            </w:r>
          </w:p>
        </w:tc>
      </w:tr>
      <w:tr>
        <w:tc>
          <w:tcPr>
            <w:tcW w:w="1040" w:type="dxa"/>
          </w:tcPr>
          <w:p>
            <w:pPr/>
            <w:r>
              <w:t xml:space="preserve">Jesse</w:t>
            </w:r>
          </w:p>
        </w:tc>
        <w:tc>
          <w:tcPr>
            <w:tcW w:w="790" w:type="dxa"/>
          </w:tcPr>
          <w:p>
            <w:pPr/>
            <w:r>
              <w:t xml:space="preserve">2</w:t>
            </w:r>
          </w:p>
        </w:tc>
        <w:tc>
          <w:tcPr>
            <w:tcW w:w="5401" w:type="dxa"/>
          </w:tcPr>
          <w:p>
            <w:pPr/>
            <w:r>
              <w:t xml:space="preserve">What do Birmingham’s larger baskets suggest for the London range?</w:t>
            </w:r>
          </w:p>
        </w:tc>
        <w:tc>
          <w:tcPr>
            <w:tcW w:w="2127" w:type="dxa"/>
          </w:tcPr>
          <w:p>
            <w:pPr/>
            <w:r>
              <w:t xml:space="preserve">1</w:t>
            </w:r>
          </w:p>
        </w:tc>
      </w:tr>
      <w:tr>
        <w:tc>
          <w:tcPr>
            <w:tcW w:w="1040" w:type="dxa"/>
          </w:tcPr>
          <w:p>
            <w:pPr/>
            <w:r>
              <w:t xml:space="preserve">Anshu</w:t>
            </w:r>
          </w:p>
        </w:tc>
        <w:tc>
          <w:tcPr>
            <w:tcW w:w="790" w:type="dxa"/>
          </w:tcPr>
          <w:p>
            <w:pPr/>
            <w:r>
              <w:t xml:space="preserve">2</w:t>
            </w:r>
          </w:p>
        </w:tc>
        <w:tc>
          <w:tcPr>
            <w:tcW w:w="5401" w:type="dxa"/>
          </w:tcPr>
          <w:p>
            <w:pPr/>
            <w:r>
              <w:t xml:space="preserve">How much of the 455,796 paid-search visits are brand terms?</w:t>
            </w:r>
          </w:p>
        </w:tc>
        <w:tc>
          <w:tcPr>
            <w:tcW w:w="2127" w:type="dxa"/>
          </w:tcPr>
          <w:p>
            <w:pPr/>
            <w:r>
              <w:t xml:space="preserve">2</w:t>
            </w:r>
          </w:p>
        </w:tc>
      </w:tr>
      <w:tr>
        <w:tc>
          <w:tcPr>
            <w:tcW w:w="1040" w:type="dxa"/>
          </w:tcPr>
          <w:p>
            <w:pPr/>
            <w:r>
              <w:t xml:space="preserve">Anshu</w:t>
            </w:r>
          </w:p>
        </w:tc>
        <w:tc>
          <w:tcPr>
            <w:tcW w:w="790" w:type="dxa"/>
          </w:tcPr>
          <w:p>
            <w:pPr/>
            <w:r>
              <w:t xml:space="preserve">2</w:t>
            </w:r>
          </w:p>
        </w:tc>
        <w:tc>
          <w:tcPr>
            <w:tcW w:w="5401" w:type="dxa"/>
          </w:tcPr>
          <w:p>
            <w:pPr/>
            <w:r>
              <w:t xml:space="preserve">What is online conversion by country, and why do visitors land on contact-us and the delivery FAQ?</w:t>
            </w:r>
          </w:p>
        </w:tc>
        <w:tc>
          <w:tcPr>
            <w:tcW w:w="2127" w:type="dxa"/>
          </w:tcPr>
          <w:p>
            <w:pPr/>
            <w:r>
              <w:t xml:space="preserve">2</w:t>
            </w:r>
          </w:p>
        </w:tc>
      </w:tr>
      <w:tr>
        <w:tc>
          <w:tcPr>
            <w:tcW w:w="1040" w:type="dxa"/>
          </w:tcPr>
          <w:p>
            <w:pPr/>
            <w:r>
              <w:t xml:space="preserve">Anshu</w:t>
            </w:r>
          </w:p>
        </w:tc>
        <w:tc>
          <w:tcPr>
            <w:tcW w:w="790" w:type="dxa"/>
          </w:tcPr>
          <w:p>
            <w:pPr/>
            <w:r>
              <w:t xml:space="preserve">2</w:t>
            </w:r>
          </w:p>
        </w:tc>
        <w:tc>
          <w:tcPr>
            <w:tcW w:w="5401" w:type="dxa"/>
          </w:tcPr>
          <w:p>
            <w:pPr/>
            <w:r>
              <w:t xml:space="preserve">What would an international client desk or a golf capsule need from marketing?</w:t>
            </w:r>
          </w:p>
        </w:tc>
        <w:tc>
          <w:tcPr>
            <w:tcW w:w="2127" w:type="dxa"/>
          </w:tcPr>
          <w:p>
            <w:pPr/>
            <w:r>
              <w:t xml:space="preserve">Beyond the brief</w:t>
            </w:r>
          </w:p>
        </w:tc>
      </w:tr>
    </w:tbl>
    <w:p>
      <w:pPr>
        <w:pStyle w:val="Heading2"/>
      </w:pPr>
      <w:r>
        <w:t xml:space="preserve">Co-creation activity</w:t>
      </w:r>
    </w:p>
    <w:p>
      <w:pPr/>
      <w:r>
        <w:t xml:space="preserve">This is the experience during the pitch the email asks for. Use a wall or flipchart, sticky notes, dots and four printed data cards: value per sale, 982,000 visits, help-page views and logistics cost.</w:t>
      </w:r>
    </w:p>
    <w:tbl>
      <w:tblPr>
        <w:tblStyle w:val="TableGrid"/>
        <w:tblW w:w="0" w:type="auto"/>
        <w:tblLayout w:type="fixed"/>
        <w:tblLook w:val="04A0" w:firstRow="1" w:lastRow="0" w:firstColumn="0" w:lastColumn="0" w:noHBand="0" w:noVBand="1"/>
      </w:tblPr>
      <w:tblGrid>
        <w:gridCol w:w="1451"/>
        <w:gridCol w:w="837"/>
        <w:gridCol w:w="4920"/>
        <w:gridCol w:w="2152"/>
      </w:tblGrid>
      <w:tr>
        <w:trPr>
          <w:tblHeader/>
        </w:trPr>
        <w:tc>
          <w:tcPr>
            <w:tcW w:w="1451" w:type="dxa"/>
            <w:shd w:val="clear" w:color="auto" w:fill="F2F2F2"/>
          </w:tcPr>
          <w:p>
            <w:pPr/>
            <w:r>
              <w:t xml:space="preserve">Step</w:t>
            </w:r>
          </w:p>
        </w:tc>
        <w:tc>
          <w:tcPr>
            <w:tcW w:w="837" w:type="dxa"/>
            <w:shd w:val="clear" w:color="auto" w:fill="F2F2F2"/>
          </w:tcPr>
          <w:p>
            <w:pPr/>
            <w:r>
              <w:t xml:space="preserve">Time</w:t>
            </w:r>
          </w:p>
        </w:tc>
        <w:tc>
          <w:tcPr>
            <w:tcW w:w="4920" w:type="dxa"/>
            <w:shd w:val="clear" w:color="auto" w:fill="F2F2F2"/>
          </w:tcPr>
          <w:p>
            <w:pPr/>
            <w:r>
              <w:t xml:space="preserve">What happens</w:t>
            </w:r>
          </w:p>
        </w:tc>
        <w:tc>
          <w:tcPr>
            <w:tcW w:w="2152" w:type="dxa"/>
            <w:shd w:val="clear" w:color="auto" w:fill="F2F2F2"/>
          </w:tcPr>
          <w:p>
            <w:pPr/>
            <w:r>
              <w:t xml:space="preserve">Output</w:t>
            </w:r>
          </w:p>
        </w:tc>
      </w:tr>
      <w:tr>
        <w:tc>
          <w:tcPr>
            <w:tcW w:w="1451" w:type="dxa"/>
          </w:tcPr>
          <w:p>
            <w:pPr/>
            <w:r>
              <w:t xml:space="preserve">1 Walk the journey</w:t>
            </w:r>
          </w:p>
        </w:tc>
        <w:tc>
          <w:tcPr>
            <w:tcW w:w="837" w:type="dxa"/>
          </w:tcPr>
          <w:p>
            <w:pPr/>
            <w:r>
              <w:t xml:space="preserve">5 min</w:t>
            </w:r>
          </w:p>
        </w:tc>
        <w:tc>
          <w:tcPr>
            <w:tcW w:w="4920" w:type="dxa"/>
          </w:tcPr>
          <w:p>
            <w:pPr/>
            <w:r>
              <w:t xml:space="preserve">We draw the client’s five-step day on the wall and name her.</w:t>
            </w:r>
          </w:p>
        </w:tc>
        <w:tc>
          <w:tcPr>
            <w:tcW w:w="2152" w:type="dxa"/>
          </w:tcPr>
          <w:p>
            <w:pPr/>
            <w:r>
              <w:t xml:space="preserve">Shared picture of the journey</w:t>
            </w:r>
          </w:p>
        </w:tc>
      </w:tr>
      <w:tr>
        <w:tc>
          <w:tcPr>
            <w:tcW w:w="1451" w:type="dxa"/>
          </w:tcPr>
          <w:p>
            <w:pPr/>
            <w:r>
              <w:t xml:space="preserve">2 Mark the moments</w:t>
            </w:r>
          </w:p>
        </w:tc>
        <w:tc>
          <w:tcPr>
            <w:tcW w:w="837" w:type="dxa"/>
          </w:tcPr>
          <w:p>
            <w:pPr/>
            <w:r>
              <w:t xml:space="preserve">5 min</w:t>
            </w:r>
          </w:p>
        </w:tc>
        <w:tc>
          <w:tcPr>
            <w:tcW w:w="4920" w:type="dxa"/>
          </w:tcPr>
          <w:p>
            <w:pPr/>
            <w:r>
              <w:t xml:space="preserve">Jack and Ashley add notes where V&amp;S delights or loses her, beside the data cards.</w:t>
            </w:r>
          </w:p>
        </w:tc>
        <w:tc>
          <w:tcPr>
            <w:tcW w:w="2152" w:type="dxa"/>
          </w:tcPr>
          <w:p>
            <w:pPr/>
            <w:r>
              <w:t xml:space="preserve">Validated and challenged assumptions</w:t>
            </w:r>
          </w:p>
        </w:tc>
      </w:tr>
      <w:tr>
        <w:tc>
          <w:tcPr>
            <w:tcW w:w="1451" w:type="dxa"/>
          </w:tcPr>
          <w:p>
            <w:pPr/>
            <w:r>
              <w:t xml:space="preserve">3 Pick the pilot</w:t>
            </w:r>
          </w:p>
        </w:tc>
        <w:tc>
          <w:tcPr>
            <w:tcW w:w="837" w:type="dxa"/>
          </w:tcPr>
          <w:p>
            <w:pPr/>
            <w:r>
              <w:t xml:space="preserve">5 min</w:t>
            </w:r>
          </w:p>
        </w:tc>
        <w:tc>
          <w:tcPr>
            <w:tcW w:w="4920" w:type="dxa"/>
          </w:tcPr>
          <w:p>
            <w:pPr/>
            <w:r>
              <w:t xml:space="preserve">Each places three dots on the moments to prototype first in London and Birmingham.</w:t>
            </w:r>
          </w:p>
        </w:tc>
        <w:tc>
          <w:tcPr>
            <w:tcW w:w="2152" w:type="dxa"/>
          </w:tcPr>
          <w:p>
            <w:pPr/>
            <w:r>
              <w:t xml:space="preserve">An agreed first pilot</w:t>
            </w:r>
          </w:p>
        </w:tc>
      </w:tr>
    </w:tbl>
    <w:p>
      <w:pPr/>
      <w:r>
        <w:t xml:space="preserve">On Day 2, run a 20-minute version with Jesse and Anshu on the four beyond-the-brief ideas, and photograph the wall afterwards. The same session can be run with store and online colleagues, so the pilot is built with the people who deliver it.</w:t>
      </w:r>
    </w:p>
    <w:p>
      <w:pPr>
        <w:pStyle w:val="Heading2"/>
      </w:pPr>
      <w:r>
        <w:t xml:space="preserve">Scribing guide</w:t>
      </w:r>
    </w:p>
    <w:p>
      <w:pPr/>
      <w:r>
        <w:t xml:space="preserve">Draw the five-step client journey on a whiteboard or flipchart in about three minutes while you present slide 9. Run one line left to right with five stations, then add one thick bar underneath.</w:t>
      </w:r>
    </w:p>
    <w:tbl>
      <w:tblPr>
        <w:tblStyle w:val="TableGrid"/>
        <w:tblW w:w="0" w:type="auto"/>
        <w:tblLayout w:type="fixed"/>
        <w:tblLook w:val="04A0" w:firstRow="1" w:lastRow="0" w:firstColumn="0" w:lastColumn="0" w:noHBand="0" w:noVBand="1"/>
      </w:tblPr>
      <w:tblGrid>
        <w:gridCol w:w="1588"/>
        <w:gridCol w:w="2852"/>
        <w:gridCol w:w="4920"/>
      </w:tblGrid>
      <w:tr>
        <w:trPr>
          <w:tblHeader/>
        </w:trPr>
        <w:tc>
          <w:tcPr>
            <w:tcW w:w="1588" w:type="dxa"/>
            <w:shd w:val="clear" w:color="auto" w:fill="F2F2F2"/>
          </w:tcPr>
          <w:p>
            <w:pPr/>
            <w:r>
              <w:t xml:space="preserve">Step</w:t>
            </w:r>
          </w:p>
        </w:tc>
        <w:tc>
          <w:tcPr>
            <w:tcW w:w="2852" w:type="dxa"/>
            <w:shd w:val="clear" w:color="auto" w:fill="F2F2F2"/>
          </w:tcPr>
          <w:p>
            <w:pPr/>
            <w:r>
              <w:t xml:space="preserve">Draw</w:t>
            </w:r>
          </w:p>
        </w:tc>
        <w:tc>
          <w:tcPr>
            <w:tcW w:w="4920" w:type="dxa"/>
            <w:shd w:val="clear" w:color="auto" w:fill="F2F2F2"/>
          </w:tcPr>
          <w:p>
            <w:pPr/>
            <w:r>
              <w:t xml:space="preserve">Say</w:t>
            </w:r>
          </w:p>
        </w:tc>
      </w:tr>
      <w:tr>
        <w:tc>
          <w:tcPr>
            <w:tcW w:w="1588" w:type="dxa"/>
          </w:tcPr>
          <w:p>
            <w:pPr/>
            <w:r>
              <w:t xml:space="preserve">1 Discover</w:t>
            </w:r>
          </w:p>
        </w:tc>
        <w:tc>
          <w:tcPr>
            <w:tcW w:w="2852" w:type="dxa"/>
          </w:tcPr>
          <w:p>
            <w:pPr/>
            <w:r>
              <w:t xml:space="preserve">A phone with a heart</w:t>
            </w:r>
          </w:p>
        </w:tc>
        <w:tc>
          <w:tcPr>
            <w:tcW w:w="4920" w:type="dxa"/>
          </w:tcPr>
          <w:p>
            <w:pPr/>
            <w:r>
              <w:t xml:space="preserve">“She sees the new collection on her phone and books a styling session.”</w:t>
            </w:r>
          </w:p>
        </w:tc>
      </w:tr>
      <w:tr>
        <w:tc>
          <w:tcPr>
            <w:tcW w:w="1588" w:type="dxa"/>
          </w:tcPr>
          <w:p>
            <w:pPr/>
            <w:r>
              <w:t xml:space="preserve">2 Plan</w:t>
            </w:r>
          </w:p>
        </w:tc>
        <w:tc>
          <w:tcPr>
            <w:tcW w:w="2852" w:type="dxa"/>
          </w:tcPr>
          <w:p>
            <w:pPr/>
            <w:r>
              <w:t xml:space="preserve">A laptop with a video window</w:t>
            </w:r>
          </w:p>
        </w:tc>
        <w:tc>
          <w:tcPr>
            <w:tcW w:w="4920" w:type="dxa"/>
          </w:tcPr>
          <w:p>
            <w:pPr/>
            <w:r>
              <w:t xml:space="preserve">“Her stylist joins by video and already knows her past purchases.”</w:t>
            </w:r>
          </w:p>
        </w:tc>
      </w:tr>
      <w:tr>
        <w:tc>
          <w:tcPr>
            <w:tcW w:w="1588" w:type="dxa"/>
          </w:tcPr>
          <w:p>
            <w:pPr/>
            <w:r>
              <w:t xml:space="preserve">3 Visit</w:t>
            </w:r>
          </w:p>
        </w:tc>
        <w:tc>
          <w:tcPr>
            <w:tcW w:w="2852" w:type="dxa"/>
          </w:tcPr>
          <w:p>
            <w:pPr/>
            <w:r>
              <w:t xml:space="preserve">A shop front with a name tag</w:t>
            </w:r>
          </w:p>
        </w:tc>
        <w:tc>
          <w:tcPr>
            <w:tcW w:w="4920" w:type="dxa"/>
          </w:tcPr>
          <w:p>
            <w:pPr/>
            <w:r>
              <w:t xml:space="preserve">“She is greeted by name and her pieces are ready to try.”</w:t>
            </w:r>
          </w:p>
        </w:tc>
      </w:tr>
      <w:tr>
        <w:tc>
          <w:tcPr>
            <w:tcW w:w="1588" w:type="dxa"/>
          </w:tcPr>
          <w:p>
            <w:pPr/>
            <w:r>
              <w:t xml:space="preserve">4 Take home</w:t>
            </w:r>
          </w:p>
        </w:tc>
        <w:tc>
          <w:tcPr>
            <w:tcW w:w="2852" w:type="dxa"/>
          </w:tcPr>
          <w:p>
            <w:pPr/>
            <w:r>
              <w:t xml:space="preserve">A parcel with a return arrow</w:t>
            </w:r>
          </w:p>
        </w:tc>
        <w:tc>
          <w:tcPr>
            <w:tcW w:w="4920" w:type="dxa"/>
          </w:tcPr>
          <w:p>
            <w:pPr/>
            <w:r>
              <w:t xml:space="preserve">“It arrives on time, and a return is simple.”</w:t>
            </w:r>
          </w:p>
        </w:tc>
      </w:tr>
      <w:tr>
        <w:tc>
          <w:tcPr>
            <w:tcW w:w="1588" w:type="dxa"/>
          </w:tcPr>
          <w:p>
            <w:pPr/>
            <w:r>
              <w:t xml:space="preserve">5 Return</w:t>
            </w:r>
          </w:p>
        </w:tc>
        <w:tc>
          <w:tcPr>
            <w:tcW w:w="2852" w:type="dxa"/>
          </w:tcPr>
          <w:p>
            <w:pPr/>
            <w:r>
              <w:t xml:space="preserve">An arrow looping back to step 1</w:t>
            </w:r>
          </w:p>
        </w:tc>
        <w:tc>
          <w:tcPr>
            <w:tcW w:w="4920" w:type="dxa"/>
          </w:tcPr>
          <w:p>
            <w:pPr/>
            <w:r>
              <w:t xml:space="preserve">“Her stylist follows up and she comes back.”</w:t>
            </w:r>
          </w:p>
        </w:tc>
      </w:tr>
    </w:tbl>
    <w:p>
      <w:pPr/>
      <w:r>
        <w:t xml:space="preserve">Under the line, draw one thick bar labelled “one client, one stock view, one team” and point to it after step 5.</w:t>
      </w:r>
    </w:p>
    <w:p>
      <w:pPr/>
      <w:r>
        <w:rPr>
          <w:b/>
        </w:rPr>
        <w:t xml:space="preserve">Tips</w:t>
      </w:r>
    </w:p>
    <w:p>
      <w:pPr>
        <w:pStyle w:val="ListParagraph"/>
        <w:numPr>
          <w:ilvl w:val="0"/>
          <w:numId w:val="4"/>
        </w:numPr>
      </w:pPr>
      <w:r>
        <w:t xml:space="preserve">Give the client a name before you start, and draw before you speak.</w:t>
      </w:r>
    </w:p>
    <w:p>
      <w:pPr>
        <w:pStyle w:val="ListParagraph"/>
        <w:numPr>
          <w:ilvl w:val="0"/>
          <w:numId w:val="4"/>
        </w:numPr>
      </w:pPr>
      <w:r>
        <w:t xml:space="preserve">Use red for the moments that depend on technology and black for the rest.</w:t>
      </w:r>
    </w:p>
    <w:p>
      <w:pPr>
        <w:pStyle w:val="ListParagraph"/>
        <w:numPr>
          <w:ilvl w:val="0"/>
          <w:numId w:val="4"/>
        </w:numPr>
      </w:pPr>
      <w:r>
        <w:t xml:space="preserve">Keep to three minutes, then step back and invite Jack and Ashley to add what is missing.</w:t>
      </w:r>
    </w:p>
    <w:p>
      <w:pPr>
        <w:pStyle w:val="ListParagraph"/>
        <w:numPr>
          <w:ilvl w:val="0"/>
          <w:numId w:val="4"/>
        </w:numPr>
      </w:pPr>
      <w:r>
        <w:t xml:space="preserve">Photograph the board afterwards for the leave-behind.</w:t>
      </w:r>
    </w:p>
    <w:p>
      <w:pPr>
        <w:pStyle w:val="Heading2"/>
      </w:pPr>
      <w:r>
        <w:t xml:space="preserve">Prep checklist</w:t>
      </w:r>
    </w:p>
    <w:p>
      <w:pPr/>
      <w:r>
        <w:t xml:space="preserve">Settle the open items below before the pitch. Owners stay unassigned until the team agrees them. The email puts the CEO and COO interviews on Day 1 (26 October) and the director interviews on Day 2 (27 October), so confirm the pitch date.</w:t>
      </w:r>
    </w:p>
    <w:p>
      <w:pPr/>
      <w:r>
        <w:rPr>
          <w:b/>
        </w:rPr>
        <w:t xml:space="preserve">Suggested agenda</w:t>
      </w:r>
    </w:p>
    <w:p>
      <w:pPr>
        <w:pStyle w:val="ListParagraph"/>
        <w:numPr>
          <w:ilvl w:val="0"/>
          <w:numId w:val="5"/>
        </w:numPr>
      </w:pPr>
      <w:r>
        <w:t xml:space="preserve">Agree the core message and storyline (15 min)</w:t>
      </w:r>
    </w:p>
    <w:p>
      <w:pPr>
        <w:pStyle w:val="ListParagraph"/>
        <w:numPr>
          <w:ilvl w:val="0"/>
          <w:numId w:val="5"/>
        </w:numPr>
      </w:pPr>
      <w:r>
        <w:t xml:space="preserve">Walk through the slides and the talk track (30 min)</w:t>
      </w:r>
    </w:p>
    <w:p>
      <w:pPr>
        <w:pStyle w:val="ListParagraph"/>
        <w:numPr>
          <w:ilvl w:val="0"/>
          <w:numId w:val="5"/>
        </w:numPr>
      </w:pPr>
      <w:r>
        <w:t xml:space="preserve">Assign slide leads and the scribe (10 min)</w:t>
      </w:r>
    </w:p>
    <w:p>
      <w:pPr>
        <w:pStyle w:val="ListParagraph"/>
        <w:numPr>
          <w:ilvl w:val="0"/>
          <w:numId w:val="5"/>
        </w:numPr>
      </w:pPr>
      <w:r>
        <w:t xml:space="preserve">Rehearse slide 9 and the Q&amp;A (20 min)</w:t>
      </w:r>
    </w:p>
    <w:p>
      <w:pPr>
        <w:pStyle w:val="ListParagraph"/>
        <w:numPr>
          <w:ilvl w:val="0"/>
          <w:numId w:val="5"/>
        </w:numPr>
      </w:pPr>
      <w:r>
        <w:t xml:space="preserve">Close the open items (15 min)</w:t>
      </w:r>
    </w:p>
    <w:p>
      <w:pPr/>
      <w:r>
        <w:rPr>
          <w:b/>
        </w:rPr>
        <w:t xml:space="preserve">Open items</w:t>
      </w:r>
    </w:p>
    <w:p>
      <w:pPr>
        <w:pStyle w:val="ListParagraph"/>
        <w:numPr>
          <w:ilvl w:val="0"/>
          <w:numId w:val="6"/>
        </w:numPr>
      </w:pPr>
      <w:r>
        <w:t xml:space="preserve">☐ Confirm the pitch slot length, because the deck assumes 30 minutes</w:t>
      </w:r>
    </w:p>
    <w:p>
      <w:pPr>
        <w:pStyle w:val="ListParagraph"/>
        <w:numPr>
          <w:ilvl w:val="0"/>
          <w:numId w:val="6"/>
        </w:numPr>
      </w:pPr>
      <w:r>
        <w:t xml:space="preserve">☐ Assign a lead for each slide and one person to scribe slide 9</w:t>
      </w:r>
    </w:p>
    <w:p>
      <w:pPr>
        <w:pStyle w:val="ListParagraph"/>
        <w:numPr>
          <w:ilvl w:val="0"/>
          <w:numId w:val="6"/>
        </w:numPr>
      </w:pPr>
      <w:r>
        <w:t xml:space="preserve">☐ Decide whether to size the £2bn and 10% levers now or say sizing follows benchmarking</w:t>
      </w:r>
    </w:p>
    <w:p>
      <w:pPr>
        <w:pStyle w:val="ListParagraph"/>
        <w:numPr>
          <w:ilvl w:val="0"/>
          <w:numId w:val="6"/>
        </w:numPr>
      </w:pPr>
      <w:r>
        <w:t xml:space="preserve">☐ Choose the peers to benchmark V&amp;S against</w:t>
      </w:r>
    </w:p>
    <w:p>
      <w:pPr>
        <w:pStyle w:val="ListParagraph"/>
        <w:numPr>
          <w:ilvl w:val="0"/>
          <w:numId w:val="6"/>
        </w:numPr>
      </w:pPr>
      <w:r>
        <w:t xml:space="preserve">☐ Check the market figures against their original sources before quoting them</w:t>
      </w:r>
    </w:p>
    <w:p>
      <w:pPr>
        <w:pStyle w:val="ListParagraph"/>
        <w:numPr>
          <w:ilvl w:val="0"/>
          <w:numId w:val="6"/>
        </w:numPr>
      </w:pPr>
      <w:r>
        <w:t xml:space="preserve">☐ Note that the conversion figure comes from fashion retail, not luxury alone</w:t>
      </w:r>
    </w:p>
    <w:p>
      <w:pPr>
        <w:pStyle w:val="ListParagraph"/>
        <w:numPr>
          <w:ilvl w:val="0"/>
          <w:numId w:val="6"/>
        </w:numPr>
      </w:pPr>
      <w:r>
        <w:t xml:space="preserve">☐ Agree wording on the web-only acquisition so it does not pre-empt Jack’s request for advice</w:t>
      </w:r>
    </w:p>
    <w:p>
      <w:pPr>
        <w:pStyle w:val="ListParagraph"/>
        <w:numPr>
          <w:ilvl w:val="0"/>
          <w:numId w:val="6"/>
        </w:numPr>
      </w:pPr>
      <w:r>
        <w:t xml:space="preserve">☐ Check the deck against the Virley case document</w:t>
      </w:r>
    </w:p>
    <w:p>
      <w:pPr>
        <w:pStyle w:val="ListParagraph"/>
        <w:numPr>
          <w:ilvl w:val="0"/>
          <w:numId w:val="6"/>
        </w:numPr>
      </w:pPr>
      <w:r>
        <w:t xml:space="preserve">☐ Apply the PwC Toolbox template to the PowerPoint</w:t>
      </w:r>
    </w:p>
    <w:p>
      <w:pPr>
        <w:pStyle w:val="ListParagraph"/>
        <w:numPr>
          <w:ilvl w:val="0"/>
          <w:numId w:val="6"/>
        </w:numPr>
      </w:pPr>
      <w:r>
        <w:t xml:space="preserve">☐ Print the leave-behind and bring markers for scribing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Pitch prep pack Virley &amp; Sons</dc:title>
  <dc:description>Claude Docs node/db4a0be1-1018@12 docx-w7</dc:description>
  <cp:revision>12</cp:revision>
</cp:coreProperties>
</file>