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Pitch prep pack: Virley &amp; Sons</w:t>
      </w:r>
    </w:p>
    <w:p>
      <w:pPr/>
      <w:r>
        <w:t xml:space="preserve">Oct 21, 2026</w:t>
      </w:r>
      <w:r>
        <w:t xml:space="preserve"> · </w:t>
      </w:r>
      <w:r>
        <w:t xml:space="preserve">@mlk</w:t>
      </w:r>
    </w:p>
    <w:p>
      <w:pPr>
        <w:pStyle w:val="Heading2"/>
      </w:pPr>
      <w:r>
        <w:t xml:space="preserve">Talk track</w:t>
      </w:r>
    </w:p>
    <w:p>
      <w:pPr/>
      <w:r>
        <w:t xml:space="preserve">The 14 main slides run about 23 minutes, leaving about 7 minutes for questions in an assumed 30-minute slot. Confirm the real slot, and keep appendix slides 15 and 16 hidden unless asked.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70"/>
        <w:gridCol w:w="2470"/>
        <w:gridCol w:w="852"/>
        <w:gridCol w:w="5266"/>
      </w:tblGrid>
      <w:tr>
        <w:trPr>
          <w:tblHeader/>
        </w:trPr>
        <w:tc>
          <w:tcPr>
            <w:tcW w:w="77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470" w:type="dxa"/>
            <w:shd w:val="clear" w:color="auto" w:fill="F2F2F2"/>
          </w:tcPr>
          <w:p>
            <w:pPr/>
            <w:r>
              <w:t xml:space="preserve">Slide</w:t>
            </w:r>
          </w:p>
        </w:tc>
        <w:tc>
          <w:tcPr>
            <w:tcW w:w="852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5266" w:type="dxa"/>
            <w:shd w:val="clear" w:color="auto" w:fill="F2F2F2"/>
          </w:tcPr>
          <w:p>
            <w:pPr/>
            <w:r>
              <w:t xml:space="preserve">Key line to say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</w:t>
            </w:r>
          </w:p>
        </w:tc>
        <w:tc>
          <w:tcPr>
            <w:tcW w:w="2470" w:type="dxa"/>
          </w:tcPr>
          <w:p>
            <w:pPr/>
            <w:r>
              <w:t xml:space="preserve">Title</w:t>
            </w:r>
          </w:p>
        </w:tc>
        <w:tc>
          <w:tcPr>
            <w:tcW w:w="852" w:type="dxa"/>
          </w:tcPr>
          <w:p>
            <w:pPr/>
            <w:r>
              <w:t xml:space="preserve">0:30</w:t>
            </w:r>
          </w:p>
        </w:tc>
        <w:tc>
          <w:tcPr>
            <w:tcW w:w="5266" w:type="dxa"/>
          </w:tcPr>
          <w:p>
            <w:pPr/>
            <w:r>
              <w:t xml:space="preserve">“This is a draft answer, and we want to test it with you today.”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2</w:t>
            </w:r>
          </w:p>
        </w:tc>
        <w:tc>
          <w:tcPr>
            <w:tcW w:w="2470" w:type="dxa"/>
          </w:tcPr>
          <w:p>
            <w:pPr/>
            <w:r>
              <w:t xml:space="preserve">Executive summary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“Growth is below market; the fix is one Virley experience in every channel, proven in London first.”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3</w:t>
            </w:r>
          </w:p>
        </w:tc>
        <w:tc>
          <w:tcPr>
            <w:tcW w:w="2470" w:type="dxa"/>
          </w:tcPr>
          <w:p>
            <w:pPr/>
            <w:r>
              <w:t xml:space="preserve">Storyline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“One core message, three reasons, and the facts behind each. The rest follows this order.”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4</w:t>
            </w:r>
          </w:p>
        </w:tc>
        <w:tc>
          <w:tcPr>
            <w:tcW w:w="2470" w:type="dxa"/>
          </w:tcPr>
          <w:p>
            <w:pPr/>
            <w:r>
              <w:t xml:space="preserve">Situation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“We heard £2bn, a 10% margin and a one-year window. Sales effort alone has not moved results.”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5</w:t>
            </w:r>
          </w:p>
        </w:tc>
        <w:tc>
          <w:tcPr>
            <w:tcW w:w="2470" w:type="dxa"/>
          </w:tcPr>
          <w:p>
            <w:pPr/>
            <w:r>
              <w:t xml:space="preserve">Environment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“Luxury brands that join up stores and online grow faster, and online conversion has headroom.”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6</w:t>
            </w:r>
          </w:p>
        </w:tc>
        <w:tc>
          <w:tcPr>
            <w:tcW w:w="2470" w:type="dxa"/>
          </w:tcPr>
          <w:p>
            <w:pPr/>
            <w:r>
              <w:t xml:space="preserve">Reframe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“The question is not stores or online. It is which experience we deliver in every channel.”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7</w:t>
            </w:r>
          </w:p>
        </w:tc>
        <w:tc>
          <w:tcPr>
            <w:tcW w:w="2470" w:type="dxa"/>
          </w:tcPr>
          <w:p>
            <w:pPr/>
            <w:r>
              <w:t xml:space="preserve">Hypotheses</w:t>
            </w:r>
          </w:p>
        </w:tc>
        <w:tc>
          <w:tcPr>
            <w:tcW w:w="852" w:type="dxa"/>
          </w:tcPr>
          <w:p>
            <w:pPr/>
            <w:r>
              <w:t xml:space="preserve">2:00</w:t>
            </w:r>
          </w:p>
        </w:tc>
        <w:tc>
          <w:tcPr>
            <w:tcW w:w="5266" w:type="dxa"/>
          </w:tcPr>
          <w:p>
            <w:pPr/>
            <w:r>
              <w:t xml:space="preserve">“Four hypotheses, each with the evidence we hold and how we will test it.”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8</w:t>
            </w:r>
          </w:p>
        </w:tc>
        <w:tc>
          <w:tcPr>
            <w:tcW w:w="2470" w:type="dxa"/>
          </w:tcPr>
          <w:p>
            <w:pPr/>
            <w:r>
              <w:t xml:space="preserve">Bold idea</w:t>
            </w:r>
          </w:p>
        </w:tc>
        <w:tc>
          <w:tcPr>
            <w:tcW w:w="852" w:type="dxa"/>
          </w:tcPr>
          <w:p>
            <w:pPr/>
            <w:r>
              <w:t xml:space="preserve">2:00</w:t>
            </w:r>
          </w:p>
        </w:tc>
        <w:tc>
          <w:tcPr>
            <w:tcW w:w="5266" w:type="dxa"/>
          </w:tcPr>
          <w:p>
            <w:pPr/>
            <w:r>
              <w:t xml:space="preserve">“Virley Everywhere: one client, one stock view, one team. Stores and online are two halves of it.”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9</w:t>
            </w:r>
          </w:p>
        </w:tc>
        <w:tc>
          <w:tcPr>
            <w:tcW w:w="2470" w:type="dxa"/>
          </w:tcPr>
          <w:p>
            <w:pPr/>
            <w:r>
              <w:t xml:space="preserve">Client journey</w:t>
            </w:r>
          </w:p>
        </w:tc>
        <w:tc>
          <w:tcPr>
            <w:tcW w:w="852" w:type="dxa"/>
          </w:tcPr>
          <w:p>
            <w:pPr/>
            <w:r>
              <w:t xml:space="preserve">3:00</w:t>
            </w:r>
          </w:p>
        </w:tc>
        <w:tc>
          <w:tcPr>
            <w:tcW w:w="5266" w:type="dxa"/>
          </w:tcPr>
          <w:p>
            <w:pPr/>
            <w:r>
              <w:t xml:space="preserve">“Follow one client from social media to her return visit.” Scribe it live.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10</w:t>
            </w:r>
          </w:p>
        </w:tc>
        <w:tc>
          <w:tcPr>
            <w:tcW w:w="2470" w:type="dxa"/>
          </w:tcPr>
          <w:p>
            <w:pPr/>
            <w:r>
              <w:t xml:space="preserve">Technology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“Technology serves the experience. The first dependency is an interim IT leader.”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11</w:t>
            </w:r>
          </w:p>
        </w:tc>
        <w:tc>
          <w:tcPr>
            <w:tcW w:w="2470" w:type="dxa"/>
          </w:tcPr>
          <w:p>
            <w:pPr/>
            <w:r>
              <w:t xml:space="preserve">Strategy</w:t>
            </w:r>
          </w:p>
        </w:tc>
        <w:tc>
          <w:tcPr>
            <w:tcW w:w="852" w:type="dxa"/>
          </w:tcPr>
          <w:p>
            <w:pPr/>
            <w:r>
              <w:t xml:space="preserve">2:00</w:t>
            </w:r>
          </w:p>
        </w:tc>
        <w:tc>
          <w:tcPr>
            <w:tcW w:w="5266" w:type="dxa"/>
          </w:tcPr>
          <w:p>
            <w:pPr/>
            <w:r>
              <w:t xml:space="preserve">“Three levers. Channel roles are hypotheses to test, not decisions.”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12</w:t>
            </w:r>
          </w:p>
        </w:tc>
        <w:tc>
          <w:tcPr>
            <w:tcW w:w="2470" w:type="dxa"/>
          </w:tcPr>
          <w:p>
            <w:pPr/>
            <w:r>
              <w:t xml:space="preserve">Roadmap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“Foundations in 100 days, proof by month twelve, scale in year two.”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13</w:t>
            </w:r>
          </w:p>
        </w:tc>
        <w:tc>
          <w:tcPr>
            <w:tcW w:w="2470" w:type="dxa"/>
          </w:tcPr>
          <w:p>
            <w:pPr/>
            <w:r>
              <w:t xml:space="preserve">Leaders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“Each of you gets what you need, and the board gets one shared fact base.”</w:t>
            </w:r>
          </w:p>
        </w:tc>
      </w:tr>
      <w:tr>
        <w:tc>
          <w:tcPr>
            <w:tcW w:w="770" w:type="dxa"/>
          </w:tcPr>
          <w:p>
            <w:pPr/>
            <w:r>
              <w:t xml:space="preserve">14</w:t>
            </w:r>
          </w:p>
        </w:tc>
        <w:tc>
          <w:tcPr>
            <w:tcW w:w="2470" w:type="dxa"/>
          </w:tcPr>
          <w:p>
            <w:pPr/>
            <w:r>
              <w:t xml:space="preserve">Decisions</w:t>
            </w:r>
          </w:p>
        </w:tc>
        <w:tc>
          <w:tcPr>
            <w:tcW w:w="852" w:type="dxa"/>
          </w:tcPr>
          <w:p>
            <w:pPr/>
            <w:r>
              <w:t xml:space="preserve">1:30</w:t>
            </w:r>
          </w:p>
        </w:tc>
        <w:tc>
          <w:tcPr>
            <w:tcW w:w="5266" w:type="dxa"/>
          </w:tcPr>
          <w:p>
            <w:pPr/>
            <w:r>
              <w:t xml:space="preserve">“Three decisions today, and benchmark facts within 30 days.”</w:t>
            </w:r>
          </w:p>
        </w:tc>
      </w:tr>
    </w:tbl>
    <w:p>
      <w:pPr/>
      <w:r>
        <w:rPr>
          <w:b/>
        </w:rPr>
        <w:t xml:space="preserve">Delivery notes</w:t>
      </w:r>
    </w:p>
    <w:p>
      <w:pPr>
        <w:pStyle w:val="ListParagraph"/>
        <w:numPr>
          <w:ilvl w:val="0"/>
          <w:numId w:val="2"/>
        </w:numPr>
      </w:pPr>
      <w:r>
        <w:t xml:space="preserve">Open with the answer, then pause after slide 6 and ask Jack and Ashley whether the reframe matches their view.</w:t>
      </w:r>
    </w:p>
    <w:p>
      <w:pPr>
        <w:pStyle w:val="ListParagraph"/>
        <w:numPr>
          <w:ilvl w:val="0"/>
          <w:numId w:val="2"/>
        </w:numPr>
      </w:pPr>
      <w:r>
        <w:t xml:space="preserve">Tell slide 9 as a story with a named client, and draw it as you go.</w:t>
      </w:r>
    </w:p>
    <w:p>
      <w:pPr>
        <w:pStyle w:val="ListParagraph"/>
        <w:numPr>
          <w:ilvl w:val="0"/>
          <w:numId w:val="2"/>
        </w:numPr>
      </w:pPr>
      <w:r>
        <w:t xml:space="preserve">Use their own words from the case notes, and avoid consulting jargon.</w:t>
      </w:r>
    </w:p>
    <w:p>
      <w:pPr>
        <w:pStyle w:val="ListParagraph"/>
        <w:numPr>
          <w:ilvl w:val="0"/>
          <w:numId w:val="2"/>
        </w:numPr>
      </w:pPr>
      <w:r>
        <w:t xml:space="preserve">Treat market figures as external benchmarks and say V&amp;S benchmarking comes next.</w:t>
      </w:r>
    </w:p>
    <w:p>
      <w:pPr>
        <w:pStyle w:val="Heading2"/>
      </w:pPr>
      <w:r>
        <w:t xml:space="preserve">Q&amp;A prep</w:t>
      </w:r>
    </w:p>
    <w:p>
      <w:pPr/>
      <w:r>
        <w:t xml:space="preserve">Rehearse these ten questions. Each answer stays within what the case notes and our research support, and says “to be validated” where a number is not yet sized.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0"/>
        <w:gridCol w:w="1470"/>
        <w:gridCol w:w="4920"/>
      </w:tblGrid>
      <w:tr>
        <w:trPr>
          <w:tblHeader/>
        </w:trPr>
        <w:tc>
          <w:tcPr>
            <w:tcW w:w="297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Likely from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Suggested answer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Why not close the stores and go online?</w:t>
            </w:r>
          </w:p>
        </w:tc>
        <w:tc>
          <w:tcPr>
            <w:tcW w:w="1470" w:type="dxa"/>
          </w:tcPr>
          <w:p>
            <w:pPr/>
            <w:r>
              <w:t xml:space="preserve">Jack</w:t>
            </w:r>
          </w:p>
        </w:tc>
        <w:tc>
          <w:tcPr>
            <w:tcW w:w="4920" w:type="dxa"/>
          </w:tcPr>
          <w:p>
            <w:pPr/>
            <w:r>
              <w:t xml:space="preserve">Stores convert far better than online in fashion retail benchmarks (typically 20–40% vs 1–3%), and luxury clients still value the physical experience. We will test each store’s role before any closure decision, and online stays the growth engine.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Can we really reach £2bn and 10%?</w:t>
            </w:r>
          </w:p>
        </w:tc>
        <w:tc>
          <w:tcPr>
            <w:tcW w:w="1470" w:type="dxa"/>
          </w:tcPr>
          <w:p>
            <w:pPr/>
            <w:r>
              <w:t xml:space="preserve">Jack</w:t>
            </w:r>
          </w:p>
        </w:tc>
        <w:tc>
          <w:tcPr>
            <w:tcW w:w="4920" w:type="dxa"/>
          </w:tcPr>
          <w:p>
            <w:pPr/>
            <w:r>
              <w:t xml:space="preserve">Not yet known. Benchmarking and a store-level baseline in the next 30 days will size the levers, and we will not promise a number before then.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Why wait on a web-only acquisition?</w:t>
            </w:r>
          </w:p>
        </w:tc>
        <w:tc>
          <w:tcPr>
            <w:tcW w:w="1470" w:type="dxa"/>
          </w:tcPr>
          <w:p>
            <w:pPr/>
            <w:r>
              <w:t xml:space="preserve">Jack</w:t>
            </w:r>
          </w:p>
        </w:tc>
        <w:tc>
          <w:tcPr>
            <w:tcW w:w="4920" w:type="dxa"/>
          </w:tcPr>
          <w:p>
            <w:pPr/>
            <w:r>
              <w:t xml:space="preserve">The foundations (IT leadership, delivery and returns, one stock view) must be able to absorb it. We propose a decision in year two and will advise on timing and capability once the facts are in.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Why is this different from the sales push already under way?</w:t>
            </w:r>
          </w:p>
        </w:tc>
        <w:tc>
          <w:tcPr>
            <w:tcW w:w="1470" w:type="dxa"/>
          </w:tcPr>
          <w:p>
            <w:pPr/>
            <w:r>
              <w:t xml:space="preserve">Both</w:t>
            </w:r>
          </w:p>
        </w:tc>
        <w:tc>
          <w:tcPr>
            <w:tcW w:w="4920" w:type="dxa"/>
          </w:tcPr>
          <w:p>
            <w:pPr/>
            <w:r>
              <w:t xml:space="preserve">The push asks stores to sell harder. Our hypotheses say the limit sits in delivery, systems and incentives, so fixing those lets the push work.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Should we keep investing in Edinburgh?</w:t>
            </w:r>
          </w:p>
        </w:tc>
        <w:tc>
          <w:tcPr>
            <w:tcW w:w="1470" w:type="dxa"/>
          </w:tcPr>
          <w:p>
            <w:pPr/>
            <w:r>
              <w:t xml:space="preserve">Both</w:t>
            </w:r>
          </w:p>
        </w:tc>
        <w:tc>
          <w:tcPr>
            <w:tcW w:w="4920" w:type="dxa"/>
          </w:tcPr>
          <w:p>
            <w:pPr/>
            <w:r>
              <w:t xml:space="preserve">Set clear improvement milestones and review at fixed points. Attention has been concentrated there, the GM seat is vacant and inventory and IT issues are known.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Why put technology into stores before fixing online?</w:t>
            </w:r>
          </w:p>
        </w:tc>
        <w:tc>
          <w:tcPr>
            <w:tcW w:w="1470" w:type="dxa"/>
          </w:tcPr>
          <w:p>
            <w:pPr/>
            <w:r>
              <w:t xml:space="preserve">Jack</w:t>
            </w:r>
          </w:p>
        </w:tc>
        <w:tc>
          <w:tcPr>
            <w:tcW w:w="4920" w:type="dxa"/>
          </w:tcPr>
          <w:p>
            <w:pPr/>
            <w:r>
              <w:t xml:space="preserve">Both run on the same foundations, so we start with those. London is the proving ground, and the delivery and returns fixes are in the first 100 days.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What happens to Orlando while Edinburgh gets the attention?</w:t>
            </w:r>
          </w:p>
        </w:tc>
        <w:tc>
          <w:tcPr>
            <w:tcW w:w="1470" w:type="dxa"/>
          </w:tcPr>
          <w:p>
            <w:pPr/>
            <w:r>
              <w:t xml:space="preserve">Jack</w:t>
            </w:r>
          </w:p>
        </w:tc>
        <w:tc>
          <w:tcPr>
            <w:tcW w:w="4920" w:type="dxa"/>
          </w:tcPr>
          <w:p>
            <w:pPr/>
            <w:r>
              <w:t xml:space="preserve">Give it a defined role and regular review so it does not flounder, which Jack raised. Ashley’s Orlando team is seen as competent in the meantime.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What will this cost?</w:t>
            </w:r>
          </w:p>
        </w:tc>
        <w:tc>
          <w:tcPr>
            <w:tcW w:w="1470" w:type="dxa"/>
          </w:tcPr>
          <w:p>
            <w:pPr/>
            <w:r>
              <w:t xml:space="preserve">Both</w:t>
            </w:r>
          </w:p>
        </w:tc>
        <w:tc>
          <w:tcPr>
            <w:tcW w:w="4920" w:type="dxa"/>
          </w:tcPr>
          <w:p>
            <w:pPr/>
            <w:r>
              <w:t xml:space="preserve">Not sized yet. The first 100 days are mainly benchmarking, quick wins and an interim IT lead. We return with a costed plan after the 30-day facts.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How does COVID-19 change the plan?</w:t>
            </w:r>
          </w:p>
        </w:tc>
        <w:tc>
          <w:tcPr>
            <w:tcW w:w="1470" w:type="dxa"/>
          </w:tcPr>
          <w:p>
            <w:pPr/>
            <w:r>
              <w:t xml:space="preserve">Both</w:t>
            </w:r>
          </w:p>
        </w:tc>
        <w:tc>
          <w:tcPr>
            <w:tcW w:w="4920" w:type="dxa"/>
          </w:tcPr>
          <w:p>
            <w:pPr/>
            <w:r>
              <w:t xml:space="preserve">Jack sees changing consumer behaviour and supply chains, and Ashley sees limited impact. We test it in the data, and the phased plan can flex.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Who leads this inside V&amp;S, and how do we settle the board’s disagreement?</w:t>
            </w:r>
          </w:p>
        </w:tc>
        <w:tc>
          <w:tcPr>
            <w:tcW w:w="1470" w:type="dxa"/>
          </w:tcPr>
          <w:p>
            <w:pPr/>
            <w:r>
              <w:t xml:space="preserve">Both</w:t>
            </w:r>
          </w:p>
        </w:tc>
        <w:tc>
          <w:tcPr>
            <w:tcW w:w="4920" w:type="dxa"/>
          </w:tcPr>
          <w:p>
            <w:pPr/>
            <w:r>
              <w:t xml:space="preserve">Ask Jack and Ashley to name sponsors today. A board workshop built on one shared fact base and shared KPIs settles the debate.</w:t>
            </w:r>
          </w:p>
        </w:tc>
      </w:tr>
    </w:tbl>
    <w:p>
      <w:pPr>
        <w:pStyle w:val="Heading2"/>
      </w:pPr>
      <w:r>
        <w:t xml:space="preserve">Scribing guide</w:t>
      </w:r>
    </w:p>
    <w:p>
      <w:pPr/>
      <w:r>
        <w:t xml:space="preserve">Draw the five-step client journey on a whiteboard or flipchart in about three minutes while you present slide 9. Run one line left to right with five stations, then add one thick bar underneath.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8"/>
        <w:gridCol w:w="2852"/>
        <w:gridCol w:w="4920"/>
      </w:tblGrid>
      <w:tr>
        <w:trPr>
          <w:tblHeader/>
        </w:trPr>
        <w:tc>
          <w:tcPr>
            <w:tcW w:w="1588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Draw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Say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1 Discover</w:t>
            </w:r>
          </w:p>
        </w:tc>
        <w:tc>
          <w:tcPr>
            <w:tcW w:w="2852" w:type="dxa"/>
          </w:tcPr>
          <w:p>
            <w:pPr/>
            <w:r>
              <w:t xml:space="preserve">A phone with a heart</w:t>
            </w:r>
          </w:p>
        </w:tc>
        <w:tc>
          <w:tcPr>
            <w:tcW w:w="4920" w:type="dxa"/>
          </w:tcPr>
          <w:p>
            <w:pPr/>
            <w:r>
              <w:t xml:space="preserve">“She sees the new collection on her phone and books a styling session.”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2 Plan</w:t>
            </w:r>
          </w:p>
        </w:tc>
        <w:tc>
          <w:tcPr>
            <w:tcW w:w="2852" w:type="dxa"/>
          </w:tcPr>
          <w:p>
            <w:pPr/>
            <w:r>
              <w:t xml:space="preserve">A laptop with a video window</w:t>
            </w:r>
          </w:p>
        </w:tc>
        <w:tc>
          <w:tcPr>
            <w:tcW w:w="4920" w:type="dxa"/>
          </w:tcPr>
          <w:p>
            <w:pPr/>
            <w:r>
              <w:t xml:space="preserve">“Her stylist joins by video and already knows her past purchases.”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3 Visit</w:t>
            </w:r>
          </w:p>
        </w:tc>
        <w:tc>
          <w:tcPr>
            <w:tcW w:w="2852" w:type="dxa"/>
          </w:tcPr>
          <w:p>
            <w:pPr/>
            <w:r>
              <w:t xml:space="preserve">A shop front with a name tag</w:t>
            </w:r>
          </w:p>
        </w:tc>
        <w:tc>
          <w:tcPr>
            <w:tcW w:w="4920" w:type="dxa"/>
          </w:tcPr>
          <w:p>
            <w:pPr/>
            <w:r>
              <w:t xml:space="preserve">“She is greeted by name and her pieces are ready to try.”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4 Take home</w:t>
            </w:r>
          </w:p>
        </w:tc>
        <w:tc>
          <w:tcPr>
            <w:tcW w:w="2852" w:type="dxa"/>
          </w:tcPr>
          <w:p>
            <w:pPr/>
            <w:r>
              <w:t xml:space="preserve">A parcel with a return arrow</w:t>
            </w:r>
          </w:p>
        </w:tc>
        <w:tc>
          <w:tcPr>
            <w:tcW w:w="4920" w:type="dxa"/>
          </w:tcPr>
          <w:p>
            <w:pPr/>
            <w:r>
              <w:t xml:space="preserve">“It arrives on time, and a return is simple.”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5 Return</w:t>
            </w:r>
          </w:p>
        </w:tc>
        <w:tc>
          <w:tcPr>
            <w:tcW w:w="2852" w:type="dxa"/>
          </w:tcPr>
          <w:p>
            <w:pPr/>
            <w:r>
              <w:t xml:space="preserve">An arrow looping back to step 1</w:t>
            </w:r>
          </w:p>
        </w:tc>
        <w:tc>
          <w:tcPr>
            <w:tcW w:w="4920" w:type="dxa"/>
          </w:tcPr>
          <w:p>
            <w:pPr/>
            <w:r>
              <w:t xml:space="preserve">“Her stylist follows up and she comes back.”</w:t>
            </w:r>
          </w:p>
        </w:tc>
      </w:tr>
    </w:tbl>
    <w:p>
      <w:pPr/>
      <w:r>
        <w:t xml:space="preserve">Under the line, draw one thick bar labelled “one client, one stock view, one team” and point to it after step 5.</w:t>
      </w:r>
    </w:p>
    <w:p>
      <w:pPr/>
      <w:r>
        <w:rPr>
          <w:b/>
        </w:rPr>
        <w:t xml:space="preserve">Tips</w:t>
      </w:r>
    </w:p>
    <w:p>
      <w:pPr>
        <w:pStyle w:val="ListParagraph"/>
        <w:numPr>
          <w:ilvl w:val="0"/>
          <w:numId w:val="3"/>
        </w:numPr>
      </w:pPr>
      <w:r>
        <w:t xml:space="preserve">Give the client a name before you start, and draw before you speak.</w:t>
      </w:r>
    </w:p>
    <w:p>
      <w:pPr>
        <w:pStyle w:val="ListParagraph"/>
        <w:numPr>
          <w:ilvl w:val="0"/>
          <w:numId w:val="3"/>
        </w:numPr>
      </w:pPr>
      <w:r>
        <w:t xml:space="preserve">Use red for the moments that depend on technology and black for the rest.</w:t>
      </w:r>
    </w:p>
    <w:p>
      <w:pPr>
        <w:pStyle w:val="ListParagraph"/>
        <w:numPr>
          <w:ilvl w:val="0"/>
          <w:numId w:val="3"/>
        </w:numPr>
      </w:pPr>
      <w:r>
        <w:t xml:space="preserve">Keep to three minutes, then step back and invite Jack and Ashley to add what is missing.</w:t>
      </w:r>
    </w:p>
    <w:p>
      <w:pPr>
        <w:pStyle w:val="ListParagraph"/>
        <w:numPr>
          <w:ilvl w:val="0"/>
          <w:numId w:val="3"/>
        </w:numPr>
      </w:pPr>
      <w:r>
        <w:t xml:space="preserve">Photograph the board afterwards for the leave-behind.</w:t>
      </w:r>
    </w:p>
    <w:p>
      <w:pPr>
        <w:pStyle w:val="Heading2"/>
      </w:pPr>
      <w:r>
        <w:t xml:space="preserve">Prep checklist for 26 October</w:t>
      </w:r>
    </w:p>
    <w:p>
      <w:pPr/>
      <w:r>
        <w:t xml:space="preserve">The team meets on 26 October and pitches on 27 October, so settle the open items below at that meeting. Owners stay unassigned until the team agrees them.</w:t>
      </w:r>
    </w:p>
    <w:p>
      <w:pPr/>
      <w:r>
        <w:rPr>
          <w:b/>
        </w:rPr>
        <w:t xml:space="preserve">Suggested agenda</w:t>
      </w:r>
    </w:p>
    <w:p>
      <w:pPr>
        <w:pStyle w:val="ListParagraph"/>
        <w:numPr>
          <w:ilvl w:val="0"/>
          <w:numId w:val="4"/>
        </w:numPr>
      </w:pPr>
      <w:r>
        <w:t xml:space="preserve">Agree the core message and storyline (15 min)</w:t>
      </w:r>
    </w:p>
    <w:p>
      <w:pPr>
        <w:pStyle w:val="ListParagraph"/>
        <w:numPr>
          <w:ilvl w:val="0"/>
          <w:numId w:val="4"/>
        </w:numPr>
      </w:pPr>
      <w:r>
        <w:t xml:space="preserve">Walk through the slides and the talk track (30 min)</w:t>
      </w:r>
    </w:p>
    <w:p>
      <w:pPr>
        <w:pStyle w:val="ListParagraph"/>
        <w:numPr>
          <w:ilvl w:val="0"/>
          <w:numId w:val="4"/>
        </w:numPr>
      </w:pPr>
      <w:r>
        <w:t xml:space="preserve">Assign slide leads and the scribe (10 min)</w:t>
      </w:r>
    </w:p>
    <w:p>
      <w:pPr>
        <w:pStyle w:val="ListParagraph"/>
        <w:numPr>
          <w:ilvl w:val="0"/>
          <w:numId w:val="4"/>
        </w:numPr>
      </w:pPr>
      <w:r>
        <w:t xml:space="preserve">Rehearse slide 9 and the Q&amp;A (20 min)</w:t>
      </w:r>
    </w:p>
    <w:p>
      <w:pPr>
        <w:pStyle w:val="ListParagraph"/>
        <w:numPr>
          <w:ilvl w:val="0"/>
          <w:numId w:val="4"/>
        </w:numPr>
      </w:pPr>
      <w:r>
        <w:t xml:space="preserve">Close the open items (15 min)</w:t>
      </w:r>
    </w:p>
    <w:p>
      <w:pPr/>
      <w:r>
        <w:rPr>
          <w:b/>
        </w:rPr>
        <w:t xml:space="preserve">Open items</w:t>
      </w:r>
    </w:p>
    <w:p>
      <w:pPr>
        <w:pStyle w:val="ListParagraph"/>
        <w:numPr>
          <w:ilvl w:val="0"/>
          <w:numId w:val="5"/>
        </w:numPr>
      </w:pPr>
      <w:r>
        <w:t xml:space="preserve">☐ Confirm the pitch slot length, because the deck assumes 30 minutes</w:t>
      </w:r>
    </w:p>
    <w:p>
      <w:pPr>
        <w:pStyle w:val="ListParagraph"/>
        <w:numPr>
          <w:ilvl w:val="0"/>
          <w:numId w:val="5"/>
        </w:numPr>
      </w:pPr>
      <w:r>
        <w:t xml:space="preserve">☐ Assign a lead for each slide and one person to scribe slide 9</w:t>
      </w:r>
    </w:p>
    <w:p>
      <w:pPr>
        <w:pStyle w:val="ListParagraph"/>
        <w:numPr>
          <w:ilvl w:val="0"/>
          <w:numId w:val="5"/>
        </w:numPr>
      </w:pPr>
      <w:r>
        <w:t xml:space="preserve">☐ Decide whether to size the £2bn and 10% levers now or say sizing follows benchmarking</w:t>
      </w:r>
    </w:p>
    <w:p>
      <w:pPr>
        <w:pStyle w:val="ListParagraph"/>
        <w:numPr>
          <w:ilvl w:val="0"/>
          <w:numId w:val="5"/>
        </w:numPr>
      </w:pPr>
      <w:r>
        <w:t xml:space="preserve">☐ Choose the peers to benchmark V&amp;S against</w:t>
      </w:r>
    </w:p>
    <w:p>
      <w:pPr>
        <w:pStyle w:val="ListParagraph"/>
        <w:numPr>
          <w:ilvl w:val="0"/>
          <w:numId w:val="5"/>
        </w:numPr>
      </w:pPr>
      <w:r>
        <w:t xml:space="preserve">☐ Check the market figures against their original sources before quoting them</w:t>
      </w:r>
    </w:p>
    <w:p>
      <w:pPr>
        <w:pStyle w:val="ListParagraph"/>
        <w:numPr>
          <w:ilvl w:val="0"/>
          <w:numId w:val="5"/>
        </w:numPr>
      </w:pPr>
      <w:r>
        <w:t xml:space="preserve">☐ Note that the conversion figure comes from fashion retail, not luxury alone</w:t>
      </w:r>
    </w:p>
    <w:p>
      <w:pPr>
        <w:pStyle w:val="ListParagraph"/>
        <w:numPr>
          <w:ilvl w:val="0"/>
          <w:numId w:val="5"/>
        </w:numPr>
      </w:pPr>
      <w:r>
        <w:t xml:space="preserve">☐ Agree wording on the web-only acquisition so it does not pre-empt Jack’s request for advice</w:t>
      </w:r>
    </w:p>
    <w:p>
      <w:pPr>
        <w:pStyle w:val="ListParagraph"/>
        <w:numPr>
          <w:ilvl w:val="0"/>
          <w:numId w:val="5"/>
        </w:numPr>
      </w:pPr>
      <w:r>
        <w:t xml:space="preserve">☐ Check the deck against the Virley case document</w:t>
      </w:r>
    </w:p>
    <w:p>
      <w:pPr>
        <w:pStyle w:val="ListParagraph"/>
        <w:numPr>
          <w:ilvl w:val="0"/>
          <w:numId w:val="5"/>
        </w:numPr>
      </w:pPr>
      <w:r>
        <w:t xml:space="preserve">☐ Apply the PwC Toolbox template to the PowerPoint</w:t>
      </w:r>
    </w:p>
    <w:p>
      <w:pPr>
        <w:pStyle w:val="ListParagraph"/>
        <w:numPr>
          <w:ilvl w:val="0"/>
          <w:numId w:val="5"/>
        </w:numPr>
      </w:pPr>
      <w:r>
        <w:t xml:space="preserve">☐ Print the leave-behind and bring markers for scribing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Pitch prep pack Virley &amp; Sons</dc:title>
  <dc:description>Claude Docs node/db4a0be1-1018@7 docx-w7</dc:description>
  <cp:revision>7</cp:revision>
</cp:coreProperties>
</file>