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V&amp;S in-depth analysis and reframed pitch</w:t>
      </w:r>
    </w:p>
    <w:p>
      <w:pPr/>
      <w:r>
        <w:t xml:space="preserve">Oct 23, 2026</w:t>
      </w:r>
      <w:r>
        <w:t xml:space="preserve"> · </w:t>
      </w:r>
      <w:r>
        <w:t xml:space="preserve">@mlk</w:t>
      </w:r>
    </w:p>
    <w:p>
      <w:pPr>
        <w:pStyle w:val="Heading2"/>
      </w:pPr>
      <w:r>
        <w:t xml:space="preserve">Bottom line</w:t>
      </w:r>
    </w:p>
    <w:p>
      <w:pPr/>
      <w:r>
        <w:t xml:space="preserve">V&amp;S is not short of visitors; it is losing about £112m of store sales a year because each sale is worth less than it was. Pitch one idea, </w:t>
      </w:r>
      <w:r>
        <w:rPr>
          <w:b/>
        </w:rPr>
        <w:t xml:space="preserve">Virley Personal</w:t>
      </w:r>
      <w:r>
        <w:t xml:space="preserve">: every client, in a store or anywhere in the world, gets a named Virley person who knows them and can see all the stock. It goes after the £112m leak first, and the two-point cost saving that closes the margin gap second.</w:t>
      </w:r>
    </w:p>
    <w:p>
      <w:pPr/>
      <w:r>
        <w:t xml:space="preserve">This replaces the earlier "one experience in every channel", which any retailer could say. The new idea names what a client would actually notice, and it can be tested in one store within weeks.</w:t>
      </w:r>
    </w:p>
    <w:p>
      <w:pPr>
        <w:pStyle w:val="Heading2"/>
      </w:pPr>
      <w:r>
        <w:t xml:space="preserve">What the data shows</w:t>
      </w:r>
    </w:p>
    <w:p>
      <w:pPr/>
      <w:r>
        <w:t xml:space="preserve">Store sales fell 1.1% (£1,270.7m to £1,256.9m), but that hides two opposite moves. Number of sales rose 7.6%, worth about +£98m. Value per sale fell 8.1%, worth about −£112m.</w:t>
      </w:r>
    </w:p>
    <w:tbl>
      <w:tblPr>
        <w:tblStyle w:val="TableGrid"/>
        <w:tblW w:w="0" w:type="auto"/>
        <w:tblLayout w:type="fixed"/>
        <w:tblLook w:val="04A0" w:firstRow="1" w:lastRow="0" w:firstColumn="0" w:lastColumn="0" w:noHBand="0" w:noVBand="1"/>
      </w:tblPr>
      <w:tblGrid>
        <w:gridCol w:w="1516"/>
        <w:gridCol w:w="1567"/>
        <w:gridCol w:w="1600"/>
        <w:gridCol w:w="1823"/>
        <w:gridCol w:w="2852"/>
      </w:tblGrid>
      <w:tr>
        <w:trPr>
          <w:tblHeader/>
        </w:trPr>
        <w:tc>
          <w:tcPr>
            <w:tcW w:w="1516" w:type="dxa"/>
            <w:shd w:val="clear" w:color="auto" w:fill="F2F2F2"/>
          </w:tcPr>
          <w:p>
            <w:pPr/>
            <w:r>
              <w:t xml:space="preserve">Store</w:t>
            </w:r>
          </w:p>
        </w:tc>
        <w:tc>
          <w:tcPr>
            <w:tcW w:w="1567" w:type="dxa"/>
            <w:shd w:val="clear" w:color="auto" w:fill="F2F2F2"/>
          </w:tcPr>
          <w:p>
            <w:pPr/>
            <w:r>
              <w:t xml:space="preserve">Sales change (£m)</w:t>
            </w:r>
          </w:p>
        </w:tc>
        <w:tc>
          <w:tcPr>
            <w:tcW w:w="1600" w:type="dxa"/>
            <w:shd w:val="clear" w:color="auto" w:fill="F2F2F2"/>
          </w:tcPr>
          <w:p>
            <w:pPr/>
            <w:r>
              <w:t xml:space="preserve">From more sales (£m)</w:t>
            </w:r>
          </w:p>
        </w:tc>
        <w:tc>
          <w:tcPr>
            <w:tcW w:w="1823" w:type="dxa"/>
            <w:shd w:val="clear" w:color="auto" w:fill="F2F2F2"/>
          </w:tcPr>
          <w:p>
            <w:pPr/>
            <w:r>
              <w:t xml:space="preserve">From value per sale (£m)</w:t>
            </w:r>
          </w:p>
        </w:tc>
        <w:tc>
          <w:tcPr>
            <w:tcW w:w="2852" w:type="dxa"/>
            <w:shd w:val="clear" w:color="auto" w:fill="F2F2F2"/>
          </w:tcPr>
          <w:p>
            <w:pPr/>
            <w:r>
              <w:t xml:space="preserve">Value per sale FY-2 to FY-1 (£)</w:t>
            </w:r>
          </w:p>
        </w:tc>
      </w:tr>
      <w:tr>
        <w:tc>
          <w:tcPr>
            <w:tcW w:w="1516" w:type="dxa"/>
          </w:tcPr>
          <w:p>
            <w:pPr/>
            <w:r>
              <w:t xml:space="preserve">London</w:t>
            </w:r>
          </w:p>
        </w:tc>
        <w:tc>
          <w:tcPr>
            <w:tcW w:w="1567" w:type="dxa"/>
          </w:tcPr>
          <w:p>
            <w:pPr/>
            <w:r>
              <w:t xml:space="preserve">−38.9</w:t>
            </w:r>
          </w:p>
        </w:tc>
        <w:tc>
          <w:tcPr>
            <w:tcW w:w="1600" w:type="dxa"/>
          </w:tcPr>
          <w:p>
            <w:pPr/>
            <w:r>
              <w:t xml:space="preserve">+43.0</w:t>
            </w:r>
          </w:p>
        </w:tc>
        <w:tc>
          <w:tcPr>
            <w:tcW w:w="1823" w:type="dxa"/>
          </w:tcPr>
          <w:p>
            <w:pPr/>
            <w:r>
              <w:t xml:space="preserve">−82.0</w:t>
            </w:r>
          </w:p>
        </w:tc>
        <w:tc>
          <w:tcPr>
            <w:tcW w:w="2852" w:type="dxa"/>
          </w:tcPr>
          <w:p>
            <w:pPr/>
            <w:r>
              <w:t xml:space="preserve">71.8 to 62.6</w:t>
            </w:r>
          </w:p>
        </w:tc>
      </w:tr>
      <w:tr>
        <w:tc>
          <w:tcPr>
            <w:tcW w:w="1516" w:type="dxa"/>
          </w:tcPr>
          <w:p>
            <w:pPr/>
            <w:r>
              <w:t xml:space="preserve">Birmingham</w:t>
            </w:r>
          </w:p>
        </w:tc>
        <w:tc>
          <w:tcPr>
            <w:tcW w:w="1567" w:type="dxa"/>
          </w:tcPr>
          <w:p>
            <w:pPr/>
            <w:r>
              <w:t xml:space="preserve">+36.5</w:t>
            </w:r>
          </w:p>
        </w:tc>
        <w:tc>
          <w:tcPr>
            <w:tcW w:w="1600" w:type="dxa"/>
          </w:tcPr>
          <w:p>
            <w:pPr/>
            <w:r>
              <w:t xml:space="preserve">+34.2</w:t>
            </w:r>
          </w:p>
        </w:tc>
        <w:tc>
          <w:tcPr>
            <w:tcW w:w="1823" w:type="dxa"/>
          </w:tcPr>
          <w:p>
            <w:pPr/>
            <w:r>
              <w:t xml:space="preserve">+2.3</w:t>
            </w:r>
          </w:p>
        </w:tc>
        <w:tc>
          <w:tcPr>
            <w:tcW w:w="2852" w:type="dxa"/>
          </w:tcPr>
          <w:p>
            <w:pPr/>
            <w:r>
              <w:t xml:space="preserve">114.2 to 114.7</w:t>
            </w:r>
          </w:p>
        </w:tc>
      </w:tr>
      <w:tr>
        <w:tc>
          <w:tcPr>
            <w:tcW w:w="1516" w:type="dxa"/>
          </w:tcPr>
          <w:p>
            <w:pPr/>
            <w:r>
              <w:t xml:space="preserve">Edinburgh</w:t>
            </w:r>
          </w:p>
        </w:tc>
        <w:tc>
          <w:tcPr>
            <w:tcW w:w="1567" w:type="dxa"/>
          </w:tcPr>
          <w:p>
            <w:pPr/>
            <w:r>
              <w:t xml:space="preserve">−2.4</w:t>
            </w:r>
          </w:p>
        </w:tc>
        <w:tc>
          <w:tcPr>
            <w:tcW w:w="1600" w:type="dxa"/>
          </w:tcPr>
          <w:p>
            <w:pPr/>
            <w:r>
              <w:t xml:space="preserve">+13.4</w:t>
            </w:r>
          </w:p>
        </w:tc>
        <w:tc>
          <w:tcPr>
            <w:tcW w:w="1823" w:type="dxa"/>
          </w:tcPr>
          <w:p>
            <w:pPr/>
            <w:r>
              <w:t xml:space="preserve">−15.8</w:t>
            </w:r>
          </w:p>
        </w:tc>
        <w:tc>
          <w:tcPr>
            <w:tcW w:w="2852" w:type="dxa"/>
          </w:tcPr>
          <w:p>
            <w:pPr/>
            <w:r>
              <w:t xml:space="preserve">67.1 to 59.9</w:t>
            </w:r>
          </w:p>
        </w:tc>
      </w:tr>
      <w:tr>
        <w:tc>
          <w:tcPr>
            <w:tcW w:w="1516" w:type="dxa"/>
          </w:tcPr>
          <w:p>
            <w:pPr/>
            <w:r>
              <w:t xml:space="preserve">Orlando</w:t>
            </w:r>
          </w:p>
        </w:tc>
        <w:tc>
          <w:tcPr>
            <w:tcW w:w="1567" w:type="dxa"/>
          </w:tcPr>
          <w:p>
            <w:pPr/>
            <w:r>
              <w:t xml:space="preserve">−9.0</w:t>
            </w:r>
          </w:p>
        </w:tc>
        <w:tc>
          <w:tcPr>
            <w:tcW w:w="1600" w:type="dxa"/>
          </w:tcPr>
          <w:p>
            <w:pPr/>
            <w:r>
              <w:t xml:space="preserve">+7.1</w:t>
            </w:r>
          </w:p>
        </w:tc>
        <w:tc>
          <w:tcPr>
            <w:tcW w:w="1823" w:type="dxa"/>
          </w:tcPr>
          <w:p>
            <w:pPr/>
            <w:r>
              <w:t xml:space="preserve">−16.1</w:t>
            </w:r>
          </w:p>
        </w:tc>
        <w:tc>
          <w:tcPr>
            <w:tcW w:w="2852" w:type="dxa"/>
          </w:tcPr>
          <w:p>
            <w:pPr/>
            <w:r>
              <w:t xml:space="preserve">35.7 to 30.3</w:t>
            </w:r>
          </w:p>
        </w:tc>
      </w:tr>
      <w:tr>
        <w:tc>
          <w:tcPr>
            <w:tcW w:w="1516" w:type="dxa"/>
          </w:tcPr>
          <w:p>
            <w:pPr/>
            <w:r>
              <w:rPr>
                <w:b/>
              </w:rPr>
              <w:t xml:space="preserve">All stores</w:t>
            </w:r>
          </w:p>
        </w:tc>
        <w:tc>
          <w:tcPr>
            <w:tcW w:w="1567" w:type="dxa"/>
          </w:tcPr>
          <w:p>
            <w:pPr/>
            <w:r>
              <w:rPr>
                <w:b/>
              </w:rPr>
              <w:t xml:space="preserve">−13.8</w:t>
            </w:r>
          </w:p>
        </w:tc>
        <w:tc>
          <w:tcPr>
            <w:tcW w:w="1600" w:type="dxa"/>
          </w:tcPr>
          <w:p>
            <w:pPr/>
            <w:r>
              <w:rPr>
                <w:b/>
              </w:rPr>
              <w:t xml:space="preserve">+97.9</w:t>
            </w:r>
          </w:p>
        </w:tc>
        <w:tc>
          <w:tcPr>
            <w:tcW w:w="1823" w:type="dxa"/>
          </w:tcPr>
          <w:p>
            <w:pPr/>
            <w:r>
              <w:rPr>
                <w:b/>
              </w:rPr>
              <w:t xml:space="preserve">−111.7</w:t>
            </w:r>
          </w:p>
        </w:tc>
        <w:tc>
          <w:tcPr>
            <w:tcW w:w="2852" w:type="dxa"/>
          </w:tcPr>
          <w:p>
            <w:pPr/>
            <w:r>
              <w:t xml:space="preserve">74.7 to 68.7</w:t>
            </w:r>
          </w:p>
        </w:tc>
      </w:tr>
    </w:tbl>
    <w:p>
      <w:pPr/>
      <w:r>
        <w:t xml:space="preserve">Method: more sales = change in number of sales × FY-2 value per sale. Value per sale = change in value per sale × FY-1 number of sales. The two add up to the sales change. London alone accounts for about three-quarters of the leak.</w:t>
      </w:r>
    </w:p>
    <w:p>
      <w:pPr/>
      <w:r>
        <w:t xml:space="preserve">Three other facts shape the story. Logistics is 17.5% of group revenue (Edinburgh 20.6%). Online earns £5.7m from 982,000 visits, about £5.76 a visit, and 58% of visits come from outside the UK. The contact-us and delivery pages are viewed 1.9 times as often as womenswear.</w:t>
      </w:r>
    </w:p>
    <w:p>
      <w:pPr>
        <w:pStyle w:val="Heading2"/>
      </w:pPr>
      <w:r>
        <w:t xml:space="preserve">Why it likely happens</w:t>
      </w:r>
    </w:p>
    <w:p>
      <w:pPr/>
      <w:r>
        <w:t xml:space="preserve">The data shows what happened, not why. Four causes fit both our numbers and outside evidence. They are hypotheses to test, and more than one can be true at once.</w:t>
      </w:r>
    </w:p>
    <w:tbl>
      <w:tblPr>
        <w:tblStyle w:val="TableGrid"/>
        <w:tblW w:w="0" w:type="auto"/>
        <w:tblLayout w:type="fixed"/>
        <w:tblLook w:val="04A0" w:firstRow="1" w:lastRow="0" w:firstColumn="0" w:lastColumn="0" w:noHBand="0" w:noVBand="1"/>
      </w:tblPr>
      <w:tblGrid>
        <w:gridCol w:w="1662"/>
        <w:gridCol w:w="1814"/>
        <w:gridCol w:w="4100"/>
        <w:gridCol w:w="1784"/>
      </w:tblGrid>
      <w:tr>
        <w:trPr>
          <w:tblHeader/>
        </w:trPr>
        <w:tc>
          <w:tcPr>
            <w:tcW w:w="1662" w:type="dxa"/>
            <w:shd w:val="clear" w:color="auto" w:fill="F2F2F2"/>
          </w:tcPr>
          <w:p>
            <w:pPr/>
            <w:r>
              <w:t xml:space="preserve">Likely cause</w:t>
            </w:r>
          </w:p>
        </w:tc>
        <w:tc>
          <w:tcPr>
            <w:tcW w:w="1814" w:type="dxa"/>
            <w:shd w:val="clear" w:color="auto" w:fill="F2F2F2"/>
          </w:tcPr>
          <w:p>
            <w:pPr/>
            <w:r>
              <w:t xml:space="preserve">What our data shows</w:t>
            </w:r>
          </w:p>
        </w:tc>
        <w:tc>
          <w:tcPr>
            <w:tcW w:w="4100" w:type="dxa"/>
            <w:shd w:val="clear" w:color="auto" w:fill="F2F2F2"/>
          </w:tcPr>
          <w:p>
            <w:pPr/>
            <w:r>
              <w:t xml:space="preserve">Outside evidence</w:t>
            </w:r>
          </w:p>
        </w:tc>
        <w:tc>
          <w:tcPr>
            <w:tcW w:w="1784" w:type="dxa"/>
            <w:shd w:val="clear" w:color="auto" w:fill="F2F2F2"/>
          </w:tcPr>
          <w:p>
            <w:pPr/>
            <w:r>
              <w:t xml:space="preserve">What would prove it</w:t>
            </w:r>
          </w:p>
        </w:tc>
      </w:tr>
      <w:tr>
        <w:tc>
          <w:tcPr>
            <w:tcW w:w="1662" w:type="dxa"/>
          </w:tcPr>
          <w:p>
            <w:pPr/>
            <w:r>
              <w:t xml:space="preserve">1. Fewer big-spending international shoppers in London</w:t>
            </w:r>
          </w:p>
        </w:tc>
        <w:tc>
          <w:tcPr>
            <w:tcW w:w="1814" w:type="dxa"/>
          </w:tcPr>
          <w:p>
            <w:pPr/>
            <w:r>
              <w:t xml:space="preserve">London value per sale −13% while transactions +7%</w:t>
            </w:r>
          </w:p>
        </w:tc>
        <w:tc>
          <w:tcPr>
            <w:tcW w:w="4100" w:type="dxa"/>
          </w:tcPr>
          <w:p>
            <w:pPr/>
            <w:r>
              <w:t xml:space="preserve">UK ended tax-free shopping for tourists; West End retailers reportedly lost about £220m in H1 2024 and West End spend sat nearly 12% below 2019 while visits rose 3%; EU tax-free refunds up 36% (</w:t>
            </w:r>
            <w:hyperlink r:id="rId3" w:history="1">
              <w:r>
                <w:rPr>
                  <w:rStyle w:val="Hyperlink"/>
                </w:rPr>
                <w:t xml:space="preserve">FashionUnited</w:t>
              </w:r>
            </w:hyperlink>
            <w:r>
              <w:t xml:space="preserve">)</w:t>
            </w:r>
          </w:p>
        </w:tc>
        <w:tc>
          <w:tcPr>
            <w:tcW w:w="1784" w:type="dxa"/>
          </w:tcPr>
          <w:p>
            <w:pPr/>
            <w:r>
              <w:t xml:space="preserve">London sales split by customer origin and tax-free claims</w:t>
            </w:r>
          </w:p>
        </w:tc>
      </w:tr>
      <w:tr>
        <w:tc>
          <w:tcPr>
            <w:tcW w:w="1662" w:type="dxa"/>
          </w:tcPr>
          <w:p>
            <w:pPr/>
            <w:r>
              <w:t xml:space="preserve">2. Service is transactional, not personal</w:t>
            </w:r>
          </w:p>
        </w:tc>
        <w:tc>
          <w:tcPr>
            <w:tcW w:w="1814" w:type="dxa"/>
          </w:tcPr>
          <w:p>
            <w:pPr/>
            <w:r>
              <w:t xml:space="preserve">Birmingham holds about £115 a sale, London about £63</w:t>
            </w:r>
          </w:p>
        </w:tc>
        <w:tc>
          <w:tcPr>
            <w:tcW w:w="4100" w:type="dxa"/>
          </w:tcPr>
          <w:p>
            <w:pPr/>
            <w:r>
              <w:t xml:space="preserve">Luxury growth is moving from transactions to "stewardship" (personalisation, repair, services); Harrods restricts personal shopping to its top two tiers (</w:t>
            </w:r>
            <w:hyperlink r:id="rId4" w:history="1">
              <w:r>
                <w:rPr>
                  <w:rStyle w:val="Hyperlink"/>
                </w:rPr>
                <w:t xml:space="preserve">P&amp;C Global</w:t>
              </w:r>
            </w:hyperlink>
            <w:r>
              <w:t xml:space="preserve">)</w:t>
            </w:r>
          </w:p>
        </w:tc>
        <w:tc>
          <w:tcPr>
            <w:tcW w:w="1784" w:type="dxa"/>
          </w:tcPr>
          <w:p>
            <w:pPr/>
            <w:r>
              <w:t xml:space="preserve">Share of sales made through appointments or named advisers, by store</w:t>
            </w:r>
          </w:p>
        </w:tc>
      </w:tr>
      <w:tr>
        <w:tc>
          <w:tcPr>
            <w:tcW w:w="1662" w:type="dxa"/>
          </w:tcPr>
          <w:p>
            <w:pPr/>
            <w:r>
              <w:t xml:space="preserve">3. Online friction for a global audience</w:t>
            </w:r>
          </w:p>
        </w:tc>
        <w:tc>
          <w:tcPr>
            <w:tcW w:w="1814" w:type="dxa"/>
          </w:tcPr>
          <w:p>
            <w:pPr/>
            <w:r>
              <w:t xml:space="preserve">982k visits, £5.76 a visit; 58% outside the UK; help pages viewed 1.9× womenswear</w:t>
            </w:r>
          </w:p>
        </w:tc>
        <w:tc>
          <w:tcPr>
            <w:tcW w:w="4100" w:type="dxa"/>
          </w:tcPr>
          <w:p>
            <w:pPr/>
            <w:r>
              <w:t xml:space="preserve">Harvey Nichols added duty-guaranteed checkout, 21 languages and 95 currencies; international conversion rose "significantly" within four weeks (</w:t>
            </w:r>
            <w:hyperlink r:id="rId5" w:history="1">
              <w:r>
                <w:rPr>
                  <w:rStyle w:val="Hyperlink"/>
                </w:rPr>
                <w:t xml:space="preserve">Retail Systems</w:t>
              </w:r>
            </w:hyperlink>
            <w:r>
              <w:t xml:space="preserve">)</w:t>
            </w:r>
          </w:p>
        </w:tc>
        <w:tc>
          <w:tcPr>
            <w:tcW w:w="1784" w:type="dxa"/>
          </w:tcPr>
          <w:p>
            <w:pPr/>
            <w:r>
              <w:t xml:space="preserve">Checkout funnel by country; delivery and duty costs shown at checkout</w:t>
            </w:r>
          </w:p>
        </w:tc>
      </w:tr>
      <w:tr>
        <w:tc>
          <w:tcPr>
            <w:tcW w:w="1662" w:type="dxa"/>
          </w:tcPr>
          <w:p>
            <w:pPr/>
            <w:r>
              <w:t xml:space="preserve">4. Brands going direct and a shifting mix</w:t>
            </w:r>
          </w:p>
        </w:tc>
        <w:tc>
          <w:tcPr>
            <w:tcW w:w="1814" w:type="dxa"/>
          </w:tcPr>
          <w:p>
            <w:pPr/>
            <w:r>
              <w:t xml:space="preserve">Stock is replenished reactively across two systems</w:t>
            </w:r>
          </w:p>
        </w:tc>
        <w:tc>
          <w:tcPr>
            <w:tcW w:w="4100" w:type="dxa"/>
          </w:tcPr>
          <w:p>
            <w:pPr/>
            <w:r>
              <w:t xml:space="preserve">Luxury brands are taking back distribution and demanding more priority in department stores (</w:t>
            </w:r>
            <w:hyperlink r:id="rId6" w:history="1">
              <w:r>
                <w:rPr>
                  <w:rStyle w:val="Hyperlink"/>
                </w:rPr>
                <w:t xml:space="preserve">WWD</w:t>
              </w:r>
            </w:hyperlink>
            <w:r>
              <w:t xml:space="preserve">)</w:t>
            </w:r>
          </w:p>
        </w:tc>
        <w:tc>
          <w:tcPr>
            <w:tcW w:w="1784" w:type="dxa"/>
          </w:tcPr>
          <w:p>
            <w:pPr/>
            <w:r>
              <w:t xml:space="preserve">Basket mix by brand and price band, by store</w:t>
            </w:r>
          </w:p>
        </w:tc>
      </w:tr>
    </w:tbl>
    <w:p>
      <w:pPr/>
      <w:r>
        <w:t xml:space="preserve">Cause 1 is the one to check first. If London's loss is mostly tourists, no amount of service change in London fixes it alone, and the answer shifts toward reaching those clients online and abroad.</w:t>
      </w:r>
    </w:p>
    <w:p>
      <w:pPr>
        <w:pStyle w:val="Heading2"/>
      </w:pPr>
      <w:r>
        <w:t xml:space="preserve">The reframed idea: Virley Personal</w:t>
      </w:r>
    </w:p>
    <w:p>
      <w:pPr/>
      <w:r>
        <w:rPr>
          <w:b/>
        </w:rPr>
        <w:t xml:space="preserve">The reframe.</w:t>
      </w:r>
      <w:r>
        <w:t xml:space="preserve"> Not "how do we grow each channel?" but "why does each visit buy less, and who is looking after the client when they arrive?" George Virley's promise was an exciting shopping experience open to everyone. Virley Personal keeps that promise by giving every client a person, wherever they are.</w:t>
      </w:r>
    </w:p>
    <w:p>
      <w:pPr/>
      <w:r>
        <w:rPr>
          <w:b/>
        </w:rPr>
        <w:t xml:space="preserve">The idea.</w:t>
      </w:r>
      <w:r>
        <w:t xml:space="preserve"> Every client has a named Virley adviser who knows their history and can see every item in every store and online. The same adviser serves them in the shop, over chat or video from Lagos or Tokyo, and after the sale.</w:t>
      </w:r>
    </w:p>
    <w:tbl>
      <w:tblPr>
        <w:tblStyle w:val="TableGrid"/>
        <w:tblW w:w="0" w:type="auto"/>
        <w:tblLayout w:type="fixed"/>
        <w:tblLook w:val="04A0" w:firstRow="1" w:lastRow="0" w:firstColumn="0" w:lastColumn="0" w:noHBand="0" w:noVBand="1"/>
      </w:tblPr>
      <w:tblGrid>
        <w:gridCol w:w="1694"/>
        <w:gridCol w:w="3138"/>
        <w:gridCol w:w="2628"/>
        <w:gridCol w:w="1899"/>
      </w:tblGrid>
      <w:tr>
        <w:trPr>
          <w:tblHeader/>
        </w:trPr>
        <w:tc>
          <w:tcPr>
            <w:tcW w:w="1694" w:type="dxa"/>
            <w:shd w:val="clear" w:color="auto" w:fill="F2F2F2"/>
          </w:tcPr>
          <w:p>
            <w:pPr/>
            <w:r>
              <w:t xml:space="preserve">Piece</w:t>
            </w:r>
          </w:p>
        </w:tc>
        <w:tc>
          <w:tcPr>
            <w:tcW w:w="3138" w:type="dxa"/>
            <w:shd w:val="clear" w:color="auto" w:fill="F2F2F2"/>
          </w:tcPr>
          <w:p>
            <w:pPr/>
            <w:r>
              <w:t xml:space="preserve">A client notices</w:t>
            </w:r>
          </w:p>
        </w:tc>
        <w:tc>
          <w:tcPr>
            <w:tcW w:w="2628" w:type="dxa"/>
            <w:shd w:val="clear" w:color="auto" w:fill="F2F2F2"/>
          </w:tcPr>
          <w:p>
            <w:pPr/>
            <w:r>
              <w:t xml:space="preserve">A colleague has</w:t>
            </w:r>
          </w:p>
        </w:tc>
        <w:tc>
          <w:tcPr>
            <w:tcW w:w="1899" w:type="dxa"/>
            <w:shd w:val="clear" w:color="auto" w:fill="F2F2F2"/>
          </w:tcPr>
          <w:p>
            <w:pPr/>
            <w:r>
              <w:t xml:space="preserve">Cause it targets</w:t>
            </w:r>
          </w:p>
        </w:tc>
      </w:tr>
      <w:tr>
        <w:tc>
          <w:tcPr>
            <w:tcW w:w="1694" w:type="dxa"/>
          </w:tcPr>
          <w:p>
            <w:pPr/>
            <w:r>
              <w:t xml:space="preserve">Client book in stores</w:t>
            </w:r>
          </w:p>
        </w:tc>
        <w:tc>
          <w:tcPr>
            <w:tcW w:w="3138" w:type="dxa"/>
          </w:tcPr>
          <w:p>
            <w:pPr/>
            <w:r>
              <w:t xml:space="preserve">Greeted by name, offered what suits them</w:t>
            </w:r>
          </w:p>
        </w:tc>
        <w:tc>
          <w:tcPr>
            <w:tcW w:w="2628" w:type="dxa"/>
          </w:tcPr>
          <w:p>
            <w:pPr/>
            <w:r>
              <w:t xml:space="preserve">One client profile on a tablet</w:t>
            </w:r>
          </w:p>
        </w:tc>
        <w:tc>
          <w:tcPr>
            <w:tcW w:w="1899" w:type="dxa"/>
          </w:tcPr>
          <w:p>
            <w:pPr/>
            <w:r>
              <w:t xml:space="preserve">2</w:t>
            </w:r>
          </w:p>
        </w:tc>
      </w:tr>
      <w:tr>
        <w:tc>
          <w:tcPr>
            <w:tcW w:w="1694" w:type="dxa"/>
          </w:tcPr>
          <w:p>
            <w:pPr/>
            <w:r>
              <w:t xml:space="preserve">Ask a Virley person, online</w:t>
            </w:r>
          </w:p>
        </w:tc>
        <w:tc>
          <w:tcPr>
            <w:tcW w:w="3138" w:type="dxa"/>
          </w:tcPr>
          <w:p>
            <w:pPr/>
            <w:r>
              <w:t xml:space="preserve">A named adviser by chat or video, in their language and time zone</w:t>
            </w:r>
          </w:p>
        </w:tc>
        <w:tc>
          <w:tcPr>
            <w:tcW w:w="2628" w:type="dxa"/>
          </w:tcPr>
          <w:p>
            <w:pPr/>
            <w:r>
              <w:t xml:space="preserve">The same profile and live stock</w:t>
            </w:r>
          </w:p>
        </w:tc>
        <w:tc>
          <w:tcPr>
            <w:tcW w:w="1899" w:type="dxa"/>
          </w:tcPr>
          <w:p>
            <w:pPr/>
            <w:r>
              <w:t xml:space="preserve">3</w:t>
            </w:r>
          </w:p>
        </w:tc>
      </w:tr>
      <w:tr>
        <w:tc>
          <w:tcPr>
            <w:tcW w:w="1694" w:type="dxa"/>
          </w:tcPr>
          <w:p>
            <w:pPr/>
            <w:r>
              <w:t xml:space="preserve">Duty-paid delivery and easy returns</w:t>
            </w:r>
          </w:p>
        </w:tc>
        <w:tc>
          <w:tcPr>
            <w:tcW w:w="3138" w:type="dxa"/>
          </w:tcPr>
          <w:p>
            <w:pPr/>
            <w:r>
              <w:t xml:space="preserve">Price, duties and delivery date shown before paying</w:t>
            </w:r>
          </w:p>
        </w:tc>
        <w:tc>
          <w:tcPr>
            <w:tcW w:w="2628" w:type="dxa"/>
          </w:tcPr>
          <w:p>
            <w:pPr/>
            <w:r>
              <w:t xml:space="preserve">One stock view across stores and online</w:t>
            </w:r>
          </w:p>
        </w:tc>
        <w:tc>
          <w:tcPr>
            <w:tcW w:w="1899" w:type="dxa"/>
          </w:tcPr>
          <w:p>
            <w:pPr/>
            <w:r>
              <w:t xml:space="preserve">3, 4</w:t>
            </w:r>
          </w:p>
        </w:tc>
      </w:tr>
      <w:tr>
        <w:tc>
          <w:tcPr>
            <w:tcW w:w="1694" w:type="dxa"/>
          </w:tcPr>
          <w:p>
            <w:pPr/>
            <w:r>
              <w:t xml:space="preserve">Birmingham playbook</w:t>
            </w:r>
          </w:p>
        </w:tc>
        <w:tc>
          <w:tcPr>
            <w:tcW w:w="3138" w:type="dxa"/>
          </w:tcPr>
          <w:p>
            <w:pPr/>
            <w:r>
              <w:t xml:space="preserve">The same warmth in London and Edinburgh</w:t>
            </w:r>
          </w:p>
        </w:tc>
        <w:tc>
          <w:tcPr>
            <w:tcW w:w="2628" w:type="dxa"/>
          </w:tcPr>
          <w:p>
            <w:pPr/>
            <w:r>
              <w:t xml:space="preserve">The behaviours behind a £115 basket, written down and trained</w:t>
            </w:r>
          </w:p>
        </w:tc>
        <w:tc>
          <w:tcPr>
            <w:tcW w:w="1899" w:type="dxa"/>
          </w:tcPr>
          <w:p>
            <w:pPr/>
            <w:r>
              <w:t xml:space="preserve">2</w:t>
            </w:r>
          </w:p>
        </w:tc>
      </w:tr>
    </w:tbl>
    <w:p>
      <w:pPr/>
      <w:r>
        <w:rPr>
          <w:b/>
        </w:rPr>
        <w:t xml:space="preserve">Why it is bold.</w:t>
      </w:r>
      <w:r>
        <w:t xml:space="preserve"> It puts a human, not a feature, at the centre of an online business, which tests the idea that personal service is for stores only. It covers business (value per sale), experience (client and colleague) and technology (profile and stock view) in one move. It also gives the client in the room something to feel: ask them to experience it in the pitch.</w:t>
      </w:r>
    </w:p>
    <w:p>
      <w:pPr/>
      <w:r>
        <w:rPr>
          <w:b/>
        </w:rPr>
        <w:t xml:space="preserve">What it replaces.</w:t>
      </w:r>
      <w:r>
        <w:t xml:space="preserve"> The pilot is no longer "London and Birmingham" by default. Start with London flagship clients and a small online group in the United States, China and Japan, the three largest overseas audiences in the web data.</w:t>
      </w:r>
    </w:p>
    <w:p>
      <w:pPr>
        <w:pStyle w:val="Heading2"/>
      </w:pPr>
      <w:r>
        <w:t xml:space="preserve">Value at stake</w:t>
      </w:r>
    </w:p>
    <w:p>
      <w:pPr/>
      <w:r>
        <w:t xml:space="preserve">Recovering a quarter of the lost value per sale is worth about £28m of sales and £9.5m of gross profit a year. That is smaller than the £25m cost lever, so the cost saving closes most of the gap to a 10% margin and Virley Personal builds the growth behind it. These are sizing numbers, not forecasts.</w:t>
      </w:r>
    </w:p>
    <w:tbl>
      <w:tblPr>
        <w:tblStyle w:val="TableGrid"/>
        <w:tblW w:w="0" w:type="auto"/>
        <w:tblLayout w:type="fixed"/>
        <w:tblLook w:val="04A0" w:firstRow="1" w:lastRow="0" w:firstColumn="0" w:lastColumn="0" w:noHBand="0" w:noVBand="1"/>
      </w:tblPr>
      <w:tblGrid>
        <w:gridCol w:w="3328"/>
        <w:gridCol w:w="2788"/>
        <w:gridCol w:w="3244"/>
      </w:tblGrid>
      <w:tr>
        <w:trPr>
          <w:tblHeader/>
        </w:trPr>
        <w:tc>
          <w:tcPr>
            <w:tcW w:w="3328" w:type="dxa"/>
            <w:shd w:val="clear" w:color="auto" w:fill="F2F2F2"/>
          </w:tcPr>
          <w:p>
            <w:pPr/>
            <w:r>
              <w:t xml:space="preserve">Lever</w:t>
            </w:r>
          </w:p>
        </w:tc>
        <w:tc>
          <w:tcPr>
            <w:tcW w:w="2788" w:type="dxa"/>
            <w:shd w:val="clear" w:color="auto" w:fill="F2F2F2"/>
          </w:tcPr>
          <w:p>
            <w:pPr/>
            <w:r>
              <w:t xml:space="preserve">Assumption</w:t>
            </w:r>
          </w:p>
        </w:tc>
        <w:tc>
          <w:tcPr>
            <w:tcW w:w="3244" w:type="dxa"/>
            <w:shd w:val="clear" w:color="auto" w:fill="F2F2F2"/>
          </w:tcPr>
          <w:p>
            <w:pPr/>
            <w:r>
              <w:t xml:space="preserve">Annual effect</w:t>
            </w:r>
          </w:p>
        </w:tc>
      </w:tr>
      <w:tr>
        <w:tc>
          <w:tcPr>
            <w:tcW w:w="3328" w:type="dxa"/>
          </w:tcPr>
          <w:p>
            <w:pPr/>
            <w:r>
              <w:t xml:space="preserve">Recover 10% of the value-per-sale leak</w:t>
            </w:r>
          </w:p>
        </w:tc>
        <w:tc>
          <w:tcPr>
            <w:tcW w:w="2788" w:type="dxa"/>
          </w:tcPr>
          <w:p>
            <w:pPr/>
            <w:r>
              <w:t xml:space="preserve">10% of £111.7m</w:t>
            </w:r>
          </w:p>
        </w:tc>
        <w:tc>
          <w:tcPr>
            <w:tcW w:w="3244" w:type="dxa"/>
          </w:tcPr>
          <w:p>
            <w:pPr/>
            <w:r>
              <w:t xml:space="preserve">£11.2m sales, £3.8m gross profit</w:t>
            </w:r>
          </w:p>
        </w:tc>
      </w:tr>
      <w:tr>
        <w:tc>
          <w:tcPr>
            <w:tcW w:w="3328" w:type="dxa"/>
          </w:tcPr>
          <w:p>
            <w:pPr/>
            <w:r>
              <w:t xml:space="preserve">Recover 25%</w:t>
            </w:r>
          </w:p>
        </w:tc>
        <w:tc>
          <w:tcPr>
            <w:tcW w:w="2788" w:type="dxa"/>
          </w:tcPr>
          <w:p>
            <w:pPr/>
            <w:r>
              <w:t xml:space="preserve">25% of £111.7m</w:t>
            </w:r>
          </w:p>
        </w:tc>
        <w:tc>
          <w:tcPr>
            <w:tcW w:w="3244" w:type="dxa"/>
          </w:tcPr>
          <w:p>
            <w:pPr/>
            <w:r>
              <w:t xml:space="preserve">£27.9m sales, £9.5m gross profit</w:t>
            </w:r>
          </w:p>
        </w:tc>
      </w:tr>
      <w:tr>
        <w:tc>
          <w:tcPr>
            <w:tcW w:w="3328" w:type="dxa"/>
          </w:tcPr>
          <w:p>
            <w:pPr/>
            <w:r>
              <w:t xml:space="preserve">Recover 50%</w:t>
            </w:r>
          </w:p>
        </w:tc>
        <w:tc>
          <w:tcPr>
            <w:tcW w:w="2788" w:type="dxa"/>
          </w:tcPr>
          <w:p>
            <w:pPr/>
            <w:r>
              <w:t xml:space="preserve">50% of £111.7m</w:t>
            </w:r>
          </w:p>
        </w:tc>
        <w:tc>
          <w:tcPr>
            <w:tcW w:w="3244" w:type="dxa"/>
          </w:tcPr>
          <w:p>
            <w:pPr/>
            <w:r>
              <w:t xml:space="preserve">£55.9m sales, £19.1m gross profit</w:t>
            </w:r>
          </w:p>
        </w:tc>
      </w:tr>
      <w:tr>
        <w:tc>
          <w:tcPr>
            <w:tcW w:w="3328" w:type="dxa"/>
          </w:tcPr>
          <w:p>
            <w:pPr/>
            <w:r>
              <w:t xml:space="preserve">Online: every extra £1 per visit</w:t>
            </w:r>
          </w:p>
        </w:tc>
        <w:tc>
          <w:tcPr>
            <w:tcW w:w="2788" w:type="dxa"/>
          </w:tcPr>
          <w:p>
            <w:pPr/>
            <w:r>
              <w:t xml:space="preserve">982,145 visits</w:t>
            </w:r>
          </w:p>
        </w:tc>
        <w:tc>
          <w:tcPr>
            <w:tcW w:w="3244" w:type="dxa"/>
          </w:tcPr>
          <w:p>
            <w:pPr/>
            <w:r>
              <w:t xml:space="preserve">£0.98m revenue</w:t>
            </w:r>
          </w:p>
        </w:tc>
      </w:tr>
      <w:tr>
        <w:tc>
          <w:tcPr>
            <w:tcW w:w="3328" w:type="dxa"/>
          </w:tcPr>
          <w:p>
            <w:pPr/>
            <w:r>
              <w:t xml:space="preserve">Cost to serve: 2 points of revenue</w:t>
            </w:r>
          </w:p>
        </w:tc>
        <w:tc>
          <w:tcPr>
            <w:tcW w:w="2788" w:type="dxa"/>
          </w:tcPr>
          <w:p>
            <w:pPr/>
            <w:r>
              <w:t xml:space="preserve">2% of £1,262.5m</w:t>
            </w:r>
          </w:p>
        </w:tc>
        <w:tc>
          <w:tcPr>
            <w:tcW w:w="3244" w:type="dxa"/>
          </w:tcPr>
          <w:p>
            <w:pPr/>
            <w:r>
              <w:t xml:space="preserve">£25.2m EBIT</w:t>
            </w:r>
          </w:p>
        </w:tc>
      </w:tr>
      <w:tr>
        <w:tc>
          <w:tcPr>
            <w:tcW w:w="3328" w:type="dxa"/>
          </w:tcPr>
          <w:p>
            <w:pPr/>
            <w:r>
              <w:t xml:space="preserve">EBIT gap to a 10% margin</w:t>
            </w:r>
          </w:p>
        </w:tc>
        <w:tc>
          <w:tcPr>
            <w:tcW w:w="2788" w:type="dxa"/>
          </w:tcPr>
          <w:p>
            <w:pPr/>
            <w:r>
              <w:t xml:space="preserve">£126.2m less £101.5m</w:t>
            </w:r>
          </w:p>
        </w:tc>
        <w:tc>
          <w:tcPr>
            <w:tcW w:w="3244" w:type="dxa"/>
          </w:tcPr>
          <w:p>
            <w:pPr/>
            <w:r>
              <w:t xml:space="preserve">£24.8m</w:t>
            </w:r>
          </w:p>
        </w:tc>
      </w:tr>
    </w:tbl>
    <w:p>
      <w:pPr/>
      <w:r>
        <w:t xml:space="preserve">Assumptions: gross profit uses the group gross margin of 34.1%. The table leaves out the cost of the extra advisers and tools, which will reduce the profit effect; size it with Ashley before quoting a net number. Value per sale assumes "number of sales" means transactions and that FY-2 value per sale is the right baseline, which ignores any change in what is sold.</w:t>
      </w:r>
    </w:p>
    <w:p>
      <w:pPr>
        <w:pStyle w:val="Heading2"/>
      </w:pPr>
      <w:r>
        <w:t xml:space="preserve">How to test it with the four leaders</w:t>
      </w:r>
    </w:p>
    <w:p>
      <w:pPr/>
      <w:r>
        <w:t xml:space="preserve">Each cause has a person who can confirm or disprove it, and a data request that settles it.</w:t>
      </w:r>
    </w:p>
    <w:tbl>
      <w:tblPr>
        <w:tblStyle w:val="TableGrid"/>
        <w:tblW w:w="0" w:type="auto"/>
        <w:tblLayout w:type="fixed"/>
        <w:tblLook w:val="04A0" w:firstRow="1" w:lastRow="0" w:firstColumn="0" w:lastColumn="0" w:noHBand="0" w:noVBand="1"/>
      </w:tblPr>
      <w:tblGrid>
        <w:gridCol w:w="1543"/>
        <w:gridCol w:w="3858"/>
        <w:gridCol w:w="1054"/>
        <w:gridCol w:w="2905"/>
      </w:tblGrid>
      <w:tr>
        <w:trPr>
          <w:tblHeader/>
        </w:trPr>
        <w:tc>
          <w:tcPr>
            <w:tcW w:w="1543" w:type="dxa"/>
            <w:shd w:val="clear" w:color="auto" w:fill="F2F2F2"/>
          </w:tcPr>
          <w:p>
            <w:pPr/>
            <w:r>
              <w:t xml:space="preserve">Cause</w:t>
            </w:r>
          </w:p>
        </w:tc>
        <w:tc>
          <w:tcPr>
            <w:tcW w:w="3858" w:type="dxa"/>
            <w:shd w:val="clear" w:color="auto" w:fill="F2F2F2"/>
          </w:tcPr>
          <w:p>
            <w:pPr/>
            <w:r>
              <w:t xml:space="preserve">Ask</w:t>
            </w:r>
          </w:p>
        </w:tc>
        <w:tc>
          <w:tcPr>
            <w:tcW w:w="1054" w:type="dxa"/>
            <w:shd w:val="clear" w:color="auto" w:fill="F2F2F2"/>
          </w:tcPr>
          <w:p>
            <w:pPr/>
            <w:r>
              <w:t xml:space="preserve">Who</w:t>
            </w:r>
          </w:p>
        </w:tc>
        <w:tc>
          <w:tcPr>
            <w:tcW w:w="2905" w:type="dxa"/>
            <w:shd w:val="clear" w:color="auto" w:fill="F2F2F2"/>
          </w:tcPr>
          <w:p>
            <w:pPr/>
            <w:r>
              <w:t xml:space="preserve">Data to request</w:t>
            </w:r>
          </w:p>
        </w:tc>
      </w:tr>
      <w:tr>
        <w:tc>
          <w:tcPr>
            <w:tcW w:w="1543" w:type="dxa"/>
          </w:tcPr>
          <w:p>
            <w:pPr/>
            <w:r>
              <w:t xml:space="preserve">1. International shoppers</w:t>
            </w:r>
          </w:p>
        </w:tc>
        <w:tc>
          <w:tcPr>
            <w:tcW w:w="3858" w:type="dxa"/>
          </w:tcPr>
          <w:p>
            <w:pPr/>
            <w:r>
              <w:t xml:space="preserve">"Who stopped shopping in London, and where did they go?"</w:t>
            </w:r>
          </w:p>
        </w:tc>
        <w:tc>
          <w:tcPr>
            <w:tcW w:w="1054" w:type="dxa"/>
          </w:tcPr>
          <w:p>
            <w:pPr/>
            <w:r>
              <w:t xml:space="preserve">Jack, Ashley (Day 1)</w:t>
            </w:r>
          </w:p>
        </w:tc>
        <w:tc>
          <w:tcPr>
            <w:tcW w:w="2905" w:type="dxa"/>
          </w:tcPr>
          <w:p>
            <w:pPr/>
            <w:r>
              <w:t xml:space="preserve">London sales by customer origin; tax-free claims</w:t>
            </w:r>
          </w:p>
        </w:tc>
      </w:tr>
      <w:tr>
        <w:tc>
          <w:tcPr>
            <w:tcW w:w="1543" w:type="dxa"/>
          </w:tcPr>
          <w:p>
            <w:pPr/>
            <w:r>
              <w:t xml:space="preserve">2. Personal service</w:t>
            </w:r>
          </w:p>
        </w:tc>
        <w:tc>
          <w:tcPr>
            <w:tcW w:w="3858" w:type="dxa"/>
          </w:tcPr>
          <w:p>
            <w:pPr/>
            <w:r>
              <w:t xml:space="preserve">"What does a £115 Birmingham basket look like, and what do advisers do differently?"</w:t>
            </w:r>
          </w:p>
        </w:tc>
        <w:tc>
          <w:tcPr>
            <w:tcW w:w="1054" w:type="dxa"/>
          </w:tcPr>
          <w:p>
            <w:pPr/>
            <w:r>
              <w:t xml:space="preserve">Jesse (Day 2)</w:t>
            </w:r>
          </w:p>
        </w:tc>
        <w:tc>
          <w:tcPr>
            <w:tcW w:w="2905" w:type="dxa"/>
          </w:tcPr>
          <w:p>
            <w:pPr/>
            <w:r>
              <w:t xml:space="preserve">Basket mix and adviser-led sales by store</w:t>
            </w:r>
          </w:p>
        </w:tc>
      </w:tr>
      <w:tr>
        <w:tc>
          <w:tcPr>
            <w:tcW w:w="1543" w:type="dxa"/>
          </w:tcPr>
          <w:p>
            <w:pPr/>
            <w:r>
              <w:t xml:space="preserve">3. Online friction</w:t>
            </w:r>
          </w:p>
        </w:tc>
        <w:tc>
          <w:tcPr>
            <w:tcW w:w="3858" w:type="dxa"/>
          </w:tcPr>
          <w:p>
            <w:pPr/>
            <w:r>
              <w:t xml:space="preserve">"What happens to a visitor in Tokyo who wants to buy?"</w:t>
            </w:r>
          </w:p>
        </w:tc>
        <w:tc>
          <w:tcPr>
            <w:tcW w:w="1054" w:type="dxa"/>
          </w:tcPr>
          <w:p>
            <w:pPr/>
            <w:r>
              <w:t xml:space="preserve">Anshu (Day 2)</w:t>
            </w:r>
          </w:p>
        </w:tc>
        <w:tc>
          <w:tcPr>
            <w:tcW w:w="2905" w:type="dxa"/>
          </w:tcPr>
          <w:p>
            <w:pPr/>
            <w:r>
              <w:t xml:space="preserve">Checkout funnel and delivery or duty cost by country</w:t>
            </w:r>
          </w:p>
        </w:tc>
      </w:tr>
      <w:tr>
        <w:tc>
          <w:tcPr>
            <w:tcW w:w="1543" w:type="dxa"/>
          </w:tcPr>
          <w:p>
            <w:pPr/>
            <w:r>
              <w:t xml:space="preserve">4. Brands and mix</w:t>
            </w:r>
          </w:p>
        </w:tc>
        <w:tc>
          <w:tcPr>
            <w:tcW w:w="3858" w:type="dxa"/>
          </w:tcPr>
          <w:p>
            <w:pPr/>
            <w:r>
              <w:t xml:space="preserve">"Which brands are moving direct, and what does that do to our mix?"</w:t>
            </w:r>
          </w:p>
        </w:tc>
        <w:tc>
          <w:tcPr>
            <w:tcW w:w="1054" w:type="dxa"/>
          </w:tcPr>
          <w:p>
            <w:pPr/>
            <w:r>
              <w:t xml:space="preserve">Jesse, Jack</w:t>
            </w:r>
          </w:p>
        </w:tc>
        <w:tc>
          <w:tcPr>
            <w:tcW w:w="2905" w:type="dxa"/>
          </w:tcPr>
          <w:p>
            <w:pPr/>
            <w:r>
              <w:t xml:space="preserve">Sales by brand and price band, FY-2 and FY-1</w:t>
            </w:r>
          </w:p>
        </w:tc>
      </w:tr>
    </w:tbl>
    <w:p>
      <w:pPr/>
      <w:r>
        <w:t xml:space="preserve">In the room, run the co-creation activity: show the £112m leak, ask each leader to name the cause they believe, then ask them to sketch what a client would notice in Virley Personal.</w:t>
      </w:r>
    </w:p>
    <w:p>
      <w:pPr>
        <w:pStyle w:val="Heading2"/>
      </w:pPr>
      <w:r>
        <w:t xml:space="preserve">Risks and what would change our mind</w:t>
      </w:r>
    </w:p>
    <w:p>
      <w:pPr>
        <w:pStyle w:val="ListParagraph"/>
        <w:numPr>
          <w:ilvl w:val="0"/>
          <w:numId w:val="2"/>
        </w:numPr>
      </w:pPr>
      <w:r>
        <w:rPr>
          <w:b/>
        </w:rPr>
        <w:t xml:space="preserve">The leak is mostly tourists.</w:t>
      </w:r>
      <w:r>
        <w:t xml:space="preserve"> If London's drop is lost international spend that no service change recovers, shift the weight to reaching those clients online and abroad. UK tax-free policy is being debated again, so check the current position before the pitch.</w:t>
      </w:r>
    </w:p>
    <w:p>
      <w:pPr>
        <w:pStyle w:val="ListParagraph"/>
        <w:numPr>
          <w:ilvl w:val="0"/>
          <w:numId w:val="2"/>
        </w:numPr>
      </w:pPr>
      <w:r>
        <w:rPr>
          <w:b/>
        </w:rPr>
        <w:t xml:space="preserve">Mix, not service.</w:t>
      </w:r>
      <w:r>
        <w:t xml:space="preserve"> If baskets shrank because a lower-priced range sold more, the answer is buying and ranging, which is Jesse's area.</w:t>
      </w:r>
    </w:p>
    <w:p>
      <w:pPr>
        <w:pStyle w:val="ListParagraph"/>
        <w:numPr>
          <w:ilvl w:val="0"/>
          <w:numId w:val="2"/>
        </w:numPr>
      </w:pPr>
      <w:r>
        <w:rPr>
          <w:b/>
        </w:rPr>
        <w:t xml:space="preserve">Cost of personal service.</w:t>
      </w:r>
      <w:r>
        <w:t xml:space="preserve"> Advisers and tools add admin cost. If net profit per adviser is negative after three months, narrow it to the top clients, as Harrods does.</w:t>
      </w:r>
    </w:p>
    <w:p>
      <w:pPr>
        <w:pStyle w:val="ListParagraph"/>
        <w:numPr>
          <w:ilvl w:val="0"/>
          <w:numId w:val="2"/>
        </w:numPr>
      </w:pPr>
      <w:r>
        <w:rPr>
          <w:b/>
        </w:rPr>
        <w:t xml:space="preserve">Brands going direct.</w:t>
      </w:r>
      <w:r>
        <w:t xml:space="preserve"> Suppliers hold power, so the idea must work with brand partners, not around them.</w:t>
      </w:r>
    </w:p>
    <w:p>
      <w:pPr>
        <w:pStyle w:val="ListParagraph"/>
        <w:numPr>
          <w:ilvl w:val="0"/>
          <w:numId w:val="2"/>
        </w:numPr>
      </w:pPr>
      <w:r>
        <w:rPr>
          <w:b/>
        </w:rPr>
        <w:t xml:space="preserve">Data gaps.</w:t>
      </w:r>
      <w:r>
        <w:t xml:space="preserve"> "Number of sales" may not mean transactions, and currency is assumed £. If either is wrong, the £112m changes.</w:t>
      </w:r>
    </w:p>
    <w:p>
      <w:pPr>
        <w:pStyle w:val="Heading2"/>
      </w:pPr>
      <w:r>
        <w:t xml:space="preserve">Sources and data notes</w:t>
      </w:r>
    </w:p>
    <w:p>
      <w:pPr/>
      <w:r>
        <w:t xml:space="preserve">Pages opened for this analysis:</w:t>
      </w:r>
    </w:p>
    <w:p>
      <w:pPr>
        <w:pStyle w:val="ListParagraph"/>
        <w:numPr>
          <w:ilvl w:val="0"/>
          <w:numId w:val="3"/>
        </w:numPr>
      </w:pPr>
      <w:hyperlink r:id="rId3" w:history="1">
        <w:r>
          <w:rPr>
            <w:rStyle w:val="Hyperlink"/>
          </w:rPr>
          <w:t xml:space="preserve">FashionUnited, West End retailers miss out on £220 million due to tourist tax</w:t>
        </w:r>
      </w:hyperlink>
    </w:p>
    <w:p>
      <w:pPr>
        <w:pStyle w:val="ListParagraph"/>
        <w:numPr>
          <w:ilvl w:val="0"/>
          <w:numId w:val="3"/>
        </w:numPr>
      </w:pPr>
      <w:hyperlink r:id="rId4" w:history="1">
        <w:r>
          <w:rPr>
            <w:rStyle w:val="Hyperlink"/>
          </w:rPr>
          <w:t xml:space="preserve">P&amp;C Global, Luxury retail growth: from sale to stewardship</w:t>
        </w:r>
      </w:hyperlink>
    </w:p>
    <w:p>
      <w:pPr>
        <w:pStyle w:val="ListParagraph"/>
        <w:numPr>
          <w:ilvl w:val="0"/>
          <w:numId w:val="3"/>
        </w:numPr>
      </w:pPr>
      <w:hyperlink r:id="rId5" w:history="1">
        <w:r>
          <w:rPr>
            <w:rStyle w:val="Hyperlink"/>
          </w:rPr>
          <w:t xml:space="preserve">Retail Systems, Harvey Nichols online upgrade with Global-e</w:t>
        </w:r>
      </w:hyperlink>
    </w:p>
    <w:p>
      <w:pPr>
        <w:pStyle w:val="ListParagraph"/>
        <w:numPr>
          <w:ilvl w:val="0"/>
          <w:numId w:val="3"/>
        </w:numPr>
      </w:pPr>
      <w:hyperlink r:id="rId6" w:history="1">
        <w:r>
          <w:rPr>
            <w:rStyle w:val="Hyperlink"/>
          </w:rPr>
          <w:t xml:space="preserve">WWD, The battle of Britain's luxury department stores</w:t>
        </w:r>
      </w:hyperlink>
    </w:p>
    <w:p>
      <w:pPr>
        <w:pStyle w:val="ListParagraph"/>
        <w:numPr>
          <w:ilvl w:val="0"/>
          <w:numId w:val="3"/>
        </w:numPr>
      </w:pPr>
      <w:hyperlink r:id="rId7" w:history="1">
        <w:r>
          <w:rPr>
            <w:rStyle w:val="Hyperlink"/>
          </w:rPr>
          <w:t xml:space="preserve">Morgan Stanley, Luxury outlook 2026</w:t>
        </w:r>
      </w:hyperlink>
    </w:p>
    <w:p>
      <w:pPr/>
      <w:r>
        <w:t xml:space="preserve">Data notes: all V&amp;S figures come from the data pack (sales by store, FY-1 P&amp;L, website data). Currency is assumed £; "number of sales" is assumed to mean transactions; page figures are views and keyword figures are visits. The "UK Profit" column in the sales sheet does not reconcile to the P&amp;L and is not used. The outside figures are as reported by those publishers, are mostly from 2023 to 2024, and have not been checked against the market reports in the data pack.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fashionunited.com/news/retail/west-end-retailers-miss-out-on-220-million-pounds-due-to-tourist-tax/2024091661896" TargetMode="External"/><Relationship Id="rId4" Type="http://schemas.openxmlformats.org/officeDocument/2006/relationships/hyperlink" Target="https://www.pandcglobal.com/research-insights/why-services-are-reshaping-luxury-retail-growth/" TargetMode="External"/><Relationship Id="rId5" Type="http://schemas.openxmlformats.org/officeDocument/2006/relationships/hyperlink" Target="https://www.retail-systems.com/rs/Harvey_Nichols_Online_Upgrade_Globale.php" TargetMode="External"/><Relationship Id="rId6" Type="http://schemas.openxmlformats.org/officeDocument/2006/relationships/hyperlink" Target="https://wwd.com/business-news/business-features/battle-of-britains-luxury-department-stores-1235771698/" TargetMode="External"/><Relationship Id="rId7" Type="http://schemas.openxmlformats.org/officeDocument/2006/relationships/hyperlink" Target="https://www.morganstanley.com/insights/articles/luxury-goods-market-outlook-2026-contraction-to-cautio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V&amp;S in-depth analysis and reframed pitch</dc:title>
  <dc:description>Claude Docs node/f901c351-fd49@9 docx-w7</dc:description>
  <cp:revision>9</cp:revision>
</cp:coreProperties>
</file>