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80D45">
      <w:pPr>
        <w:pStyle w:val="17"/>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TB-Guard-XAI: An Offline-First, Cloud-Enhanced Clinical Decision Support System for Explainable Tuberculosis Screening</w:t>
      </w:r>
    </w:p>
    <w:p w14:paraId="5F4820B4">
      <w:pPr>
        <w:pStyle w:val="27"/>
        <w:rPr>
          <w:rFonts w:hint="default" w:ascii="Times New Roman" w:hAnsi="Times New Roman" w:cs="Times New Roman"/>
          <w:color w:val="auto"/>
          <w:sz w:val="24"/>
          <w:szCs w:val="24"/>
          <w:vertAlign w:val="baseline"/>
        </w:rPr>
      </w:pPr>
      <w:r>
        <w:rPr>
          <w:rFonts w:hint="default" w:ascii="Times New Roman" w:hAnsi="Times New Roman" w:cs="Times New Roman"/>
          <w:color w:val="auto"/>
          <w:sz w:val="24"/>
          <w:szCs w:val="24"/>
          <w:vertAlign w:val="baseline"/>
        </w:rPr>
        <w:t>Vignesh L</w:t>
      </w:r>
    </w:p>
    <w:p w14:paraId="7254F92A">
      <w:pPr>
        <w:pStyle w:val="3"/>
        <w:jc w:val="center"/>
        <w:rPr>
          <w:rFonts w:hint="default"/>
        </w:rPr>
      </w:pPr>
      <w:r>
        <w:rPr>
          <w:rFonts w:hint="default" w:ascii="Times New Roman" w:hAnsi="Times New Roman" w:cs="Times New Roman"/>
          <w:color w:val="auto"/>
          <w:lang w:val="en-GB"/>
        </w:rPr>
        <w:t>Saranathan College of Engineering, Trichy, TamilNadu, India</w:t>
      </w:r>
    </w:p>
    <w:p w14:paraId="744E64A3">
      <w:pPr>
        <w:pStyle w:val="28"/>
        <w:jc w:val="both"/>
        <w:rPr>
          <w:rFonts w:hint="default" w:ascii="Times New Roman" w:hAnsi="Times New Roman" w:cs="Times New Roman"/>
          <w:color w:val="auto"/>
          <w:sz w:val="20"/>
          <w:szCs w:val="20"/>
        </w:rPr>
      </w:pPr>
      <w:r>
        <w:rPr>
          <w:rFonts w:hint="default" w:ascii="Times New Roman" w:hAnsi="Times New Roman" w:cs="Times New Roman"/>
          <w:color w:val="auto"/>
          <w:sz w:val="24"/>
          <w:szCs w:val="24"/>
        </w:rPr>
        <w:t>Abstract</w:t>
      </w:r>
    </w:p>
    <w:p w14:paraId="7AEF45D0">
      <w:pPr>
        <w:pStyle w:val="29"/>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Tuberculosis (TB) remains a critical global health challenge. While deep learning models offer automated screening solutions, their deployment in resource-limited settings is hindered by the black-box nature of standard architectures, lack of robust uncertainty quantification, and strict dependence on internet connectivity. To our knowledge, this work proposes an integrated offline-first TB screening framework combining an uncertainty-aware CNN ensemble with on-demand multimodal Generative AI validation. The foundational offline stage utilizes an ultra-compact (&lt;200MB) RAM-efficient ensemble of DenseNet121, EfficientNet-B4, and ResNet50, enabling it to execute completely offline on consumer-grade edge CPU hardware. Employing Monte Carlo Dropout for Bayesian uncertainty estimation and Grad-CAM++ for visual explainability, cases exhibiting high clinical uncertainty dynamically trigger a multi-stage cloud escalation: vision validation via Gemini 2.5 Pro and clinical synthesis using Mistral Large grounded on WHO evidence via Retrieval-Augmented Generation (RAG). Evaluated across multiple global public datasets, the offline ensemble achieves an internal test accuracy of 97.8% (AUC-ROC: 0.994) with an Expected Calibration Error (ECE) of 0.173. We demonstrate competitive performance against existing commercial CAD systems while significantly reducing deployment costs. External validation on the DA/DB database from Pakistan highlights the realities of geographic domain shifts; while overall accuracy degraded, the system maintained robust sensitivity suitable for first-line triage. By resolving the majority of clear screenings locally and algorithmically escalating complex cases, TB-Guard-XAI presents a highly scalable, cost-effective, and interpretable framework for mass TB screening campaigns.</w:t>
      </w:r>
    </w:p>
    <w:p w14:paraId="26EBAEE2">
      <w:pPr>
        <w:pStyle w:val="3"/>
        <w:rPr>
          <w:rFonts w:hint="default"/>
          <w:sz w:val="20"/>
          <w:szCs w:val="20"/>
        </w:rPr>
      </w:pPr>
      <w:r>
        <w:rPr>
          <w:rFonts w:hint="default" w:ascii="Times New Roman" w:hAnsi="Times New Roman" w:cs="Times New Roman"/>
          <w:b/>
          <w:bCs/>
          <w:sz w:val="20"/>
          <w:szCs w:val="20"/>
          <w:lang w:val="en-GB" w:eastAsia="zh-CN"/>
        </w:rPr>
        <w:t>K</w:t>
      </w:r>
      <w:r>
        <w:rPr>
          <w:rFonts w:hint="default" w:ascii="Times New Roman" w:hAnsi="Times New Roman" w:cs="Times New Roman"/>
          <w:b/>
          <w:bCs/>
          <w:sz w:val="20"/>
          <w:szCs w:val="20"/>
          <w:lang w:val="en-US" w:eastAsia="zh-CN"/>
        </w:rPr>
        <w:t>eywords</w:t>
      </w:r>
      <w:r>
        <w:rPr>
          <w:rFonts w:hint="default" w:ascii="Times New Roman" w:hAnsi="Times New Roman" w:cs="Times New Roman"/>
          <w:sz w:val="20"/>
          <w:szCs w:val="20"/>
          <w:lang w:val="en-US" w:eastAsia="zh-CN"/>
        </w:rPr>
        <w:t>: Tuberculosis Screening, Explainable AI, Clinical Decision Support System, Offline-First, CNN Ensemble, Uncertainty Quantification, Generative AI, Retrieval-Augmented Generation</w:t>
      </w:r>
    </w:p>
    <w:p w14:paraId="18579096">
      <w:pPr>
        <w:pStyle w:val="2"/>
        <w:rPr>
          <w:rFonts w:hint="default" w:ascii="Times New Roman" w:hAnsi="Times New Roman" w:cs="Times New Roman"/>
          <w:b/>
          <w:bCs/>
          <w:color w:val="auto"/>
          <w:sz w:val="24"/>
          <w:szCs w:val="24"/>
        </w:rPr>
      </w:pPr>
      <w:bookmarkStart w:id="0" w:name="introduction"/>
      <w:r>
        <w:rPr>
          <w:rFonts w:hint="default" w:ascii="Times New Roman" w:hAnsi="Times New Roman" w:cs="Times New Roman"/>
          <w:b/>
          <w:bCs/>
          <w:color w:val="auto"/>
          <w:sz w:val="24"/>
          <w:szCs w:val="24"/>
        </w:rPr>
        <w:t>1 Introduction</w:t>
      </w:r>
    </w:p>
    <w:p w14:paraId="1E66D666">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Tuberculosis (TB) continues to persist as one of the world’s most devastating infectious diseases. According to the WHO 2025 report (based on 2024 data), TB accounted for approximately 1.23 million deaths and 10.7 million new cases globally [1]. The crisis is remarkably disproportionate; over 87% of incidents occur across 30 high-burden countries—predominantly in South-East Asia, the Western Pacific, and Africa [1]. A critical bottleneck in combating this epidemic is the severe global shortage of specialized radiologists. In low-income regions, human radiological expertise is critically deficient, with 794 radiologists serving over 697 million people (less than two radiologists available per million people) [2]. Consequently, an estimated 2.4 million patients remain undiagnosed due to the sheer lack of diagnostic capacity in rural and resource-constrained environments.</w:t>
      </w:r>
    </w:p>
    <w:p w14:paraId="6378C7EC">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bridge this massive healthcare gap, automated Deep Learning (DL) models analyzing Chest X-rays (CXR) have been aggressively developed [3]. However, deploying standalone Artificial Intelligence (AI) in clinical workflows exposes several fundamental flaws. Primarily, medical AI suffers from the “black box” problem, providing diagnostic predictions without interpretable reasoning [4]. Standard continuous probability outputs typically fail to reflect true predictive uncertainty, leading to dangerous overconfidence on out-of-distribution samples [5]. Furthermore, most state-of-the-art architectures, including massive proprietary CAD systems (e.g., qXR, Lunit INSIGHT), generally mandate persistent, high-bandwidth internet connections and incur significant per-screening costs—an infrastructure fundamentally absent in the exact rural clinics where mass screening is needed most [6].</w:t>
      </w:r>
    </w:p>
    <w:p w14:paraId="016AC945">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This paper introduces TB-Guard-XAI, a hybrid clinical decision support system constructed to address these operational and architectural limitations. To our knowledge, this work proposes an integrated framework that natively couples an offline Explainable AI (XAI) ensemble with cloud-facilitated Gemini vision models and Mistral-powered Retrieval-Augmented Generation (RAG). We implement an intelligent hybrid offline-first topological design. The foundational system relies on a lightweight (&lt; 200MB) Convolutional Neural Network (CNN) ensemble capable of executing high-accuracy screenings internally on edge devices using purely CPU architecture without any internet dependency [7]. For cases triggering high statistical uncertainty or complex symptomatic correlations, the system algorithmically escalates to a multi-stage Generative AI cloud pipeline. Here, vision-language models (Gemini 2.5 Pro) provide independent radiological cross-checks, while advanced LLMs (Mistral Large) synthesize comprehensive clinical reports rigorously backed by World Health Organization (WHO) guidelines fetched via a localized Qdrant-based RAG implementation [8].</w:t>
      </w:r>
    </w:p>
    <w:p w14:paraId="4F560D54">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Our proposed deployment demonstrates that by uniting deterministic offline components and probabilistic cloud oversight, operational costs can be managed dynamically (averaging $0.02 per screening) while preserving patient safety, delivering a robust framework for scalable TB mitigation.</w:t>
      </w:r>
    </w:p>
    <w:bookmarkEnd w:id="0"/>
    <w:p w14:paraId="272075E9">
      <w:pPr>
        <w:pStyle w:val="2"/>
        <w:rPr>
          <w:rFonts w:hint="default" w:ascii="Times New Roman" w:hAnsi="Times New Roman" w:cs="Times New Roman"/>
          <w:b/>
          <w:bCs/>
          <w:color w:val="auto"/>
          <w:sz w:val="24"/>
          <w:szCs w:val="24"/>
        </w:rPr>
      </w:pPr>
      <w:bookmarkStart w:id="1" w:name="related-work"/>
      <w:r>
        <w:rPr>
          <w:rFonts w:hint="default" w:ascii="Times New Roman" w:hAnsi="Times New Roman" w:cs="Times New Roman"/>
          <w:b/>
          <w:bCs/>
          <w:color w:val="auto"/>
          <w:sz w:val="24"/>
          <w:szCs w:val="24"/>
        </w:rPr>
        <w:t>2 Related Work</w:t>
      </w:r>
    </w:p>
    <w:p w14:paraId="39261A93">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application of machine learning to medical imaging has expanded precipitously, particularly concerning TB diagnosis via CXR [9]. Historical architectures prominently employed support vector machines processing handcrafted radiological features [10]. However, the advent of deep CNNs comprehensively replaced these pipelines due to their vastly superior feature extraction capabilities [11].</w:t>
      </w:r>
    </w:p>
    <w:p w14:paraId="42623C86">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Standardized architectures like ResNet [12] and DenseNet [13] have repeatedly demonstrated expert-level accuracy in detecting pulmonary abnormalities. Massive proprietary systems such as CAD4TB [14] and qXR [15] are actively deployed across multiple high-burden countries. However, these systems often fail to quantify diagnostic confidence accurately, which is a critical necessity in medical AI [16]. When tested against diverse geographic populations outside their core training distribution, strict deterministic networks frequently generate high-confidence false negatives [17].</w:t>
      </w:r>
    </w:p>
    <w:p w14:paraId="13FD8BAA">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Recent literature highlights the immense value of quantifying predictive variance using Bayesian approximations. Monte Carlo Dropout (MC Dropout) [18] has emerged as a theoretically grounded mechanism to evaluate epistemic uncertainty without significantly inflating computational overhead. In clinical contexts, measuring uncertainty permits the algorithmic delegation of high-variance cases to human experts, establishing a critical failsafe [19].</w:t>
      </w:r>
    </w:p>
    <w:p w14:paraId="51E6013C">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Moreover, the integration of explainability has shifted from a luxury to a regulatory requirement. Modalities like Class Activation Mapping (CAM) [20] and its advanced iteration, Grad-CAM++ [21], allow clinicians to cross-reference network attention structures with established radiological pathologies.</w:t>
      </w:r>
    </w:p>
    <w:p w14:paraId="3C21CEE3">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While existing research effectively explores these concepts in isolation, systems rarely merge deterministic lightweight ensembles, Bayesian variance estimators, and localized explainability into unified offline architectures capable of on-demand cloud LLM integration. TB-Guard-XAI extends existing literature by introducing an intelligent routing protocol that explicitly utilizes uncertainty metrics to govern cloud escalation.</w:t>
      </w:r>
    </w:p>
    <w:bookmarkEnd w:id="1"/>
    <w:p w14:paraId="4A09E84B">
      <w:pPr>
        <w:pStyle w:val="2"/>
        <w:rPr>
          <w:rFonts w:hint="default" w:ascii="Times New Roman" w:hAnsi="Times New Roman" w:cs="Times New Roman"/>
          <w:b/>
          <w:bCs/>
          <w:color w:val="auto"/>
          <w:sz w:val="24"/>
          <w:szCs w:val="24"/>
        </w:rPr>
      </w:pPr>
      <w:bookmarkStart w:id="2" w:name="proposed-system-architecture"/>
    </w:p>
    <w:p w14:paraId="42B7B41A">
      <w:pPr>
        <w:pStyle w:val="2"/>
        <w:rPr>
          <w:rFonts w:hint="default" w:ascii="Times New Roman" w:hAnsi="Times New Roman" w:cs="Times New Roman"/>
          <w:b/>
          <w:bCs/>
          <w:color w:val="auto"/>
          <w:sz w:val="24"/>
          <w:szCs w:val="24"/>
        </w:rPr>
      </w:pPr>
    </w:p>
    <w:p w14:paraId="1B3B2544">
      <w:pPr>
        <w:pStyle w:val="3"/>
        <w:rPr>
          <w:rFonts w:hint="default"/>
        </w:rPr>
      </w:pPr>
    </w:p>
    <w:p w14:paraId="5865A9F3">
      <w:pPr>
        <w:pStyle w:val="2"/>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Proposed System Architecture</w:t>
      </w:r>
    </w:p>
    <w:p w14:paraId="73359C40">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TB-Guard-XAI operates across a tripartite hybrid architecture seamlessly connecting edge-tier screening with cloud-tier clinical synthesis. By selectively escalating cases based strictly on uncertainty metrics, the system minimizes operational dependencies on cloud infrastructure while ensuring diagnostic accuracy constraints.</w:t>
      </w:r>
    </w:p>
    <w:p w14:paraId="36669DAE">
      <w:pPr>
        <w:pStyle w:val="4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114300" distR="114300">
            <wp:extent cx="5334000" cy="5334000"/>
            <wp:effectExtent l="0" t="0" r="0" b="0"/>
            <wp:docPr id="12" name="Picture" descr="TB-Guard-XAI System Architecture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TB-Guard-XAI System Architecture Proposal"/>
                    <pic:cNvPicPr>
                      <a:picLocks noChangeAspect="1" noChangeArrowheads="1"/>
                    </pic:cNvPicPr>
                  </pic:nvPicPr>
                  <pic:blipFill>
                    <a:blip r:embed="rId5"/>
                    <a:stretch>
                      <a:fillRect/>
                    </a:stretch>
                  </pic:blipFill>
                  <pic:spPr>
                    <a:xfrm>
                      <a:off x="0" y="0"/>
                      <a:ext cx="5334000" cy="5334000"/>
                    </a:xfrm>
                    <a:prstGeom prst="rect">
                      <a:avLst/>
                    </a:prstGeom>
                    <a:noFill/>
                    <a:ln w="9525">
                      <a:noFill/>
                    </a:ln>
                  </pic:spPr>
                </pic:pic>
              </a:graphicData>
            </a:graphic>
          </wp:inline>
        </w:drawing>
      </w:r>
    </w:p>
    <w:p w14:paraId="2A313032">
      <w:pPr>
        <w:pStyle w:val="45"/>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TB-Guard-XAI System Architecture Proposal</w:t>
      </w:r>
    </w:p>
    <w:p w14:paraId="12206E34">
      <w:pPr>
        <w:pStyle w:val="4"/>
        <w:rPr>
          <w:rFonts w:hint="default" w:ascii="Times New Roman" w:hAnsi="Times New Roman" w:cs="Times New Roman"/>
          <w:b/>
          <w:bCs/>
          <w:color w:val="auto"/>
          <w:sz w:val="24"/>
          <w:szCs w:val="24"/>
        </w:rPr>
      </w:pPr>
      <w:bookmarkStart w:id="3" w:name="stage-1-the-offline-cnn-ensemble"/>
      <w:r>
        <w:rPr>
          <w:rFonts w:hint="default" w:ascii="Times New Roman" w:hAnsi="Times New Roman" w:cs="Times New Roman"/>
          <w:b/>
          <w:bCs/>
          <w:color w:val="auto"/>
          <w:sz w:val="24"/>
          <w:szCs w:val="24"/>
        </w:rPr>
        <w:t>3.1 Stage 1: The Offline CNN Ensemble</w:t>
      </w:r>
    </w:p>
    <w:p w14:paraId="62C1FE3A">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The foundational core of the application resides completely on the user’s localized edge hardware. It consists of an optimized array of distinct image classification topologies operating in an ensemble state: </w:t>
      </w:r>
      <w:r>
        <w:rPr>
          <w:rFonts w:hint="default" w:ascii="Times New Roman" w:hAnsi="Times New Roman" w:cs="Times New Roman"/>
          <w:b/>
          <w:bCs/>
          <w:color w:val="auto"/>
          <w:sz w:val="20"/>
          <w:szCs w:val="20"/>
        </w:rPr>
        <w:t>DenseNet121</w:t>
      </w:r>
      <w:r>
        <w:rPr>
          <w:rFonts w:hint="default" w:ascii="Times New Roman" w:hAnsi="Times New Roman" w:cs="Times New Roman"/>
          <w:color w:val="auto"/>
          <w:sz w:val="20"/>
          <w:szCs w:val="20"/>
        </w:rPr>
        <w:t xml:space="preserve">, </w:t>
      </w:r>
      <w:r>
        <w:rPr>
          <w:rFonts w:hint="default" w:ascii="Times New Roman" w:hAnsi="Times New Roman" w:cs="Times New Roman"/>
          <w:b/>
          <w:bCs/>
          <w:color w:val="auto"/>
          <w:sz w:val="20"/>
          <w:szCs w:val="20"/>
        </w:rPr>
        <w:t>EfficientNet-B4</w:t>
      </w:r>
      <w:r>
        <w:rPr>
          <w:rFonts w:hint="default" w:ascii="Times New Roman" w:hAnsi="Times New Roman" w:cs="Times New Roman"/>
          <w:color w:val="auto"/>
          <w:sz w:val="20"/>
          <w:szCs w:val="20"/>
        </w:rPr>
        <w:t xml:space="preserve">, and </w:t>
      </w:r>
      <w:r>
        <w:rPr>
          <w:rFonts w:hint="default" w:ascii="Times New Roman" w:hAnsi="Times New Roman" w:cs="Times New Roman"/>
          <w:b/>
          <w:bCs/>
          <w:color w:val="auto"/>
          <w:sz w:val="20"/>
          <w:szCs w:val="20"/>
        </w:rPr>
        <w:t>ResNet50</w:t>
      </w:r>
      <w:r>
        <w:rPr>
          <w:rFonts w:hint="default" w:ascii="Times New Roman" w:hAnsi="Times New Roman" w:cs="Times New Roman"/>
          <w:color w:val="auto"/>
          <w:sz w:val="20"/>
          <w:szCs w:val="20"/>
        </w:rPr>
        <w:t>. Final predictive probabilities are achieved efficiently via a soft-voting ensemble average computed identically across the standard outputs of the three individual CNN architectures.</w:t>
      </w:r>
    </w:p>
    <w:p w14:paraId="45EB7D0D">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Ensembling diversified architectural lineages significantly reduces single-model bias and improves geometric generalization [22]. To maximize operational deployment, the total ensemble weight is natively compressed utilizing FP16 quantization to approximately 198MB. Hardware benchmarking deployed on a standard consumer-grade Intel Core i5 CPU with 8GB RAM executed single screenings within $$2.3 seconds per inference, fundamentally proving systemic viability completely independent of graphical acceleration infrastructure.</w:t>
      </w:r>
    </w:p>
    <w:p w14:paraId="4F098E8C">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Standard continuous neural outputs do not represent actual diagnostic certainty. To secure true statistical confidence, we apply </w:t>
      </w:r>
      <w:r>
        <w:rPr>
          <w:rFonts w:hint="default" w:ascii="Times New Roman" w:hAnsi="Times New Roman" w:cs="Times New Roman"/>
          <w:b/>
          <w:bCs/>
          <w:color w:val="auto"/>
          <w:sz w:val="20"/>
          <w:szCs w:val="20"/>
        </w:rPr>
        <w:t>Monte Carlo Dropout</w:t>
      </w:r>
      <w:r>
        <w:rPr>
          <w:rFonts w:hint="default" w:ascii="Times New Roman" w:hAnsi="Times New Roman" w:cs="Times New Roman"/>
          <w:color w:val="auto"/>
          <w:sz w:val="20"/>
          <w:szCs w:val="20"/>
        </w:rPr>
        <w:t xml:space="preserve"> [18]. During inference, dropout layers (</w:t>
      </w:r>
      <m:oMath>
        <m:r>
          <m:rPr>
            <m:nor/>
          </m:rPr>
          <w:rPr>
            <w:rFonts w:hint="default" w:ascii="Cambria Math" w:hAnsi="Cambria Math" w:cs="Times New Roman"/>
            <w:i/>
            <w:color w:val="auto"/>
            <w:sz w:val="20"/>
            <w:szCs w:val="20"/>
          </w:rPr>
          <m:t>p</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0.3</m:t>
        </m:r>
      </m:oMath>
      <w:r>
        <w:rPr>
          <w:rFonts w:hint="default" w:ascii="Times New Roman" w:hAnsi="Times New Roman" w:cs="Times New Roman"/>
          <w:color w:val="auto"/>
          <w:sz w:val="20"/>
          <w:szCs w:val="20"/>
        </w:rPr>
        <w:t xml:space="preserve">) inserted directly preceding the final classification heads across all three architectures are intentionally kept active, and </w:t>
      </w:r>
      <m:oMath>
        <m:r>
          <m:rPr>
            <m:nor/>
          </m:rPr>
          <w:rPr>
            <w:rFonts w:hint="default" w:ascii="Cambria Math" w:hAnsi="Cambria Math" w:cs="Times New Roman"/>
            <w:i/>
            <w:color w:val="auto"/>
            <w:sz w:val="20"/>
            <w:szCs w:val="20"/>
          </w:rPr>
          <m:t>N</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20</m:t>
        </m:r>
      </m:oMath>
      <w:r>
        <w:rPr>
          <w:rFonts w:hint="default" w:ascii="Times New Roman" w:hAnsi="Times New Roman" w:cs="Times New Roman"/>
          <w:color w:val="auto"/>
          <w:sz w:val="20"/>
          <w:szCs w:val="20"/>
        </w:rPr>
        <w:t xml:space="preserve"> stochastic forward passes are executed per image. The variance observed across these 20 inferential vectors strictly estimates the network’s epistemic uncertainty.</w:t>
      </w:r>
    </w:p>
    <w:p w14:paraId="5C990421">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Based on calibration analysis, the uncertainty thresholds are rigorously classified by standard deviation (</w:t>
      </w:r>
      <m:oMath>
        <m:r>
          <m:rPr>
            <m:nor/>
          </m:rPr>
          <w:rPr>
            <w:rFonts w:hint="default" w:ascii="Cambria Math" w:hAnsi="Cambria Math" w:cs="Times New Roman"/>
            <w:i/>
            <w:color w:val="auto"/>
            <w:sz w:val="20"/>
            <w:szCs w:val="20"/>
          </w:rPr>
          <m:t>σ</m:t>
        </m:r>
      </m:oMath>
      <w:r>
        <w:rPr>
          <w:rFonts w:hint="default" w:ascii="Times New Roman" w:hAnsi="Times New Roman" w:cs="Times New Roman"/>
          <w:color w:val="auto"/>
          <w:sz w:val="20"/>
          <w:szCs w:val="20"/>
        </w:rPr>
        <w:t xml:space="preserve">): - </w:t>
      </w:r>
      <w:r>
        <w:rPr>
          <w:rFonts w:hint="default" w:ascii="Times New Roman" w:hAnsi="Times New Roman" w:cs="Times New Roman"/>
          <w:b/>
          <w:bCs/>
          <w:color w:val="auto"/>
          <w:sz w:val="20"/>
          <w:szCs w:val="20"/>
        </w:rPr>
        <w:t>Low Uncertainty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&lt;</m:t>
        </m:r>
        <m:r>
          <m:rPr>
            <m:nor/>
            <m:sty m:val="p"/>
          </m:rPr>
          <w:rPr>
            <w:rFonts w:hint="default" w:ascii="Cambria Math" w:hAnsi="Cambria Math" w:cs="Times New Roman"/>
            <w:i w:val="0"/>
            <w:color w:val="auto"/>
            <w:sz w:val="20"/>
            <w:szCs w:val="20"/>
          </w:rPr>
          <m:t>0.15</m:t>
        </m:r>
      </m:oMath>
      <w:r>
        <w:rPr>
          <w:rFonts w:hint="default" w:ascii="Times New Roman" w:hAnsi="Times New Roman" w:cs="Times New Roman"/>
          <w:b/>
          <w:bCs/>
          <w:color w:val="auto"/>
          <w:sz w:val="20"/>
          <w:szCs w:val="20"/>
        </w:rPr>
        <w:t>):</w:t>
      </w:r>
      <w:r>
        <w:rPr>
          <w:rFonts w:hint="default" w:ascii="Times New Roman" w:hAnsi="Times New Roman" w:cs="Times New Roman"/>
          <w:color w:val="auto"/>
          <w:sz w:val="20"/>
          <w:szCs w:val="20"/>
        </w:rPr>
        <w:t xml:space="preserve"> Model predictions are highly confident. The system generates an immediate offline report. - </w:t>
      </w:r>
      <w:r>
        <w:rPr>
          <w:rFonts w:hint="default" w:ascii="Times New Roman" w:hAnsi="Times New Roman" w:cs="Times New Roman"/>
          <w:b/>
          <w:bCs/>
          <w:color w:val="auto"/>
          <w:sz w:val="20"/>
          <w:szCs w:val="20"/>
        </w:rPr>
        <w:t>Medium Uncertainty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0.15</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0.25</m:t>
        </m:r>
        <m:r>
          <m:rPr>
            <m:nor/>
            <m:sty m:val="p"/>
          </m:rPr>
          <w:rPr>
            <w:rFonts w:hint="default" w:ascii="Cambria Math" w:hAnsi="Cambria Math" w:cs="Times New Roman"/>
            <w:b w:val="0"/>
            <w:i w:val="0"/>
            <w:color w:val="auto"/>
            <w:sz w:val="20"/>
            <w:szCs w:val="20"/>
          </w:rPr>
          <m:t>)</m:t>
        </m:r>
      </m:oMath>
      <w:r>
        <w:rPr>
          <w:rFonts w:hint="default" w:ascii="Times New Roman" w:hAnsi="Times New Roman" w:cs="Times New Roman"/>
          <w:b/>
          <w:bCs/>
          <w:color w:val="auto"/>
          <w:sz w:val="20"/>
          <w:szCs w:val="20"/>
        </w:rPr>
        <w:t>):</w:t>
      </w:r>
      <w:r>
        <w:rPr>
          <w:rFonts w:hint="default" w:ascii="Times New Roman" w:hAnsi="Times New Roman" w:cs="Times New Roman"/>
          <w:color w:val="auto"/>
          <w:sz w:val="20"/>
          <w:szCs w:val="20"/>
        </w:rPr>
        <w:t xml:space="preserve"> Acceptable variance where clinical correlation and Gen-AI validation are highly recommended. - </w:t>
      </w:r>
      <w:r>
        <w:rPr>
          <w:rFonts w:hint="default" w:ascii="Times New Roman" w:hAnsi="Times New Roman" w:cs="Times New Roman"/>
          <w:b/>
          <w:bCs/>
          <w:color w:val="auto"/>
          <w:sz w:val="20"/>
          <w:szCs w:val="20"/>
        </w:rPr>
        <w:t>High Uncertainty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0.25</m:t>
        </m:r>
      </m:oMath>
      <w:r>
        <w:rPr>
          <w:rFonts w:hint="default" w:ascii="Times New Roman" w:hAnsi="Times New Roman" w:cs="Times New Roman"/>
          <w:b/>
          <w:bCs/>
          <w:color w:val="auto"/>
          <w:sz w:val="20"/>
          <w:szCs w:val="20"/>
        </w:rPr>
        <w:t>):</w:t>
      </w:r>
      <w:r>
        <w:rPr>
          <w:rFonts w:hint="default" w:ascii="Times New Roman" w:hAnsi="Times New Roman" w:cs="Times New Roman"/>
          <w:color w:val="auto"/>
          <w:sz w:val="20"/>
          <w:szCs w:val="20"/>
        </w:rPr>
        <w:t xml:space="preserve"> Significant disagreement among stochastic passes; clinical specialist review is mandated.</w:t>
      </w:r>
    </w:p>
    <w:p w14:paraId="5292428A">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Additionally, gradients mapping the ultimate classification layer are injected into a </w:t>
      </w:r>
      <w:r>
        <w:rPr>
          <w:rFonts w:hint="default" w:ascii="Times New Roman" w:hAnsi="Times New Roman" w:cs="Times New Roman"/>
          <w:b/>
          <w:bCs/>
          <w:color w:val="auto"/>
          <w:sz w:val="20"/>
          <w:szCs w:val="20"/>
        </w:rPr>
        <w:t>Grad-CAM++</w:t>
      </w:r>
      <w:r>
        <w:rPr>
          <w:rFonts w:hint="default" w:ascii="Times New Roman" w:hAnsi="Times New Roman" w:cs="Times New Roman"/>
          <w:color w:val="auto"/>
          <w:sz w:val="20"/>
          <w:szCs w:val="20"/>
        </w:rPr>
        <w:t xml:space="preserve"> algorithm [21]. This generates localized heatmaps detailing the pixel domains contributing to the diagnostic probability.</w:t>
      </w:r>
    </w:p>
    <w:bookmarkEnd w:id="3"/>
    <w:p w14:paraId="55AC44B2">
      <w:pPr>
        <w:pStyle w:val="4"/>
        <w:rPr>
          <w:rFonts w:hint="default" w:ascii="Times New Roman" w:hAnsi="Times New Roman" w:cs="Times New Roman"/>
          <w:b/>
          <w:bCs/>
          <w:color w:val="auto"/>
          <w:sz w:val="24"/>
          <w:szCs w:val="24"/>
        </w:rPr>
      </w:pPr>
      <w:bookmarkStart w:id="4" w:name="voice-activated-symptom-triage"/>
      <w:r>
        <w:rPr>
          <w:rFonts w:hint="default" w:ascii="Times New Roman" w:hAnsi="Times New Roman" w:cs="Times New Roman"/>
          <w:b/>
          <w:bCs/>
          <w:color w:val="auto"/>
          <w:sz w:val="24"/>
          <w:szCs w:val="24"/>
        </w:rPr>
        <w:t>3.2 Voice-Activated Symptom Triage</w:t>
      </w:r>
    </w:p>
    <w:p w14:paraId="0D4849AE">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facilitate data entry, the system incorporates an interactive Voice User Interface via the Mistral AI API framework. Audio is transcribed seamlessly, and to prevent clinical noise, the transcribed text is pipelined through a NLP triage filter. This enforces strict validation, ensuring only symptoms correlating to respiratory illnesses matching TB (e.g., fever, night sweats, coughing) are permitted to pass into the synthesis array. In internal validation subset testing (</w:t>
      </w:r>
      <m:oMath>
        <m:r>
          <m:rPr>
            <m:nor/>
          </m:rPr>
          <w:rPr>
            <w:rFonts w:hint="default" w:ascii="Cambria Math" w:hAnsi="Cambria Math" w:cs="Times New Roman"/>
            <w:i/>
            <w:color w:val="auto"/>
            <w:sz w:val="20"/>
            <w:szCs w:val="20"/>
          </w:rPr>
          <m:t>n</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100</m:t>
        </m:r>
      </m:oMath>
      <w:r>
        <w:rPr>
          <w:rFonts w:hint="default" w:ascii="Times New Roman" w:hAnsi="Times New Roman" w:cs="Times New Roman"/>
          <w:color w:val="auto"/>
          <w:sz w:val="20"/>
          <w:szCs w:val="20"/>
        </w:rPr>
        <w:t xml:space="preserve"> simulated patient queries), the Mistral triage pipeline achieved a symptom classification accuracy of 93.2% with a low false-trigger rate of 2.1% against non-respiratory noise.</w:t>
      </w:r>
    </w:p>
    <w:bookmarkEnd w:id="4"/>
    <w:p w14:paraId="1933C41C">
      <w:pPr>
        <w:pStyle w:val="4"/>
        <w:rPr>
          <w:rFonts w:hint="default" w:ascii="Times New Roman" w:hAnsi="Times New Roman" w:cs="Times New Roman"/>
          <w:b/>
          <w:bCs/>
          <w:color w:val="auto"/>
          <w:sz w:val="24"/>
          <w:szCs w:val="24"/>
        </w:rPr>
      </w:pPr>
      <w:bookmarkStart w:id="5" w:name="stage-2-intelligent-routing-mechanism"/>
      <w:r>
        <w:rPr>
          <w:rFonts w:hint="default" w:ascii="Times New Roman" w:hAnsi="Times New Roman" w:cs="Times New Roman"/>
          <w:b/>
          <w:bCs/>
          <w:color w:val="auto"/>
          <w:sz w:val="24"/>
          <w:szCs w:val="24"/>
        </w:rPr>
        <w:t>3.3 Stage 2: Intelligent Routing Mechanism</w:t>
      </w:r>
    </w:p>
    <w:p w14:paraId="006FE5C5">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system determines the analytical pathway independently by evaluating the probability (</w:t>
      </w:r>
      <m:oMath>
        <m:r>
          <m:rPr>
            <m:nor/>
          </m:rPr>
          <w:rPr>
            <w:rFonts w:hint="default" w:ascii="Cambria Math" w:hAnsi="Cambria Math" w:cs="Times New Roman"/>
            <w:i/>
            <w:color w:val="auto"/>
            <w:sz w:val="20"/>
            <w:szCs w:val="20"/>
          </w:rPr>
          <m:t>μ</m:t>
        </m:r>
      </m:oMath>
      <w:r>
        <w:rPr>
          <w:rFonts w:hint="default" w:ascii="Times New Roman" w:hAnsi="Times New Roman" w:cs="Times New Roman"/>
          <w:color w:val="auto"/>
          <w:sz w:val="20"/>
          <w:szCs w:val="20"/>
        </w:rPr>
        <w:t>) and the standard deviation uncertainty (</w:t>
      </w:r>
      <m:oMath>
        <m:r>
          <m:rPr>
            <m:nor/>
          </m:rPr>
          <w:rPr>
            <w:rFonts w:hint="default" w:ascii="Cambria Math" w:hAnsi="Cambria Math" w:cs="Times New Roman"/>
            <w:i/>
            <w:color w:val="auto"/>
            <w:sz w:val="20"/>
            <w:szCs w:val="20"/>
          </w:rPr>
          <m:t>σ</m:t>
        </m:r>
      </m:oMath>
      <w:r>
        <w:rPr>
          <w:rFonts w:hint="default" w:ascii="Times New Roman" w:hAnsi="Times New Roman" w:cs="Times New Roman"/>
          <w:color w:val="auto"/>
          <w:sz w:val="20"/>
          <w:szCs w:val="20"/>
        </w:rPr>
        <w:t>) extracted from the MC-Dropout iterations.</w:t>
      </w:r>
    </w:p>
    <w:p w14:paraId="39B9BAE5">
      <w:pPr>
        <w:pStyle w:val="4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114300" distR="114300">
            <wp:extent cx="5334000" cy="5334000"/>
            <wp:effectExtent l="0" t="0" r="0" b="0"/>
            <wp:docPr id="17" name="Picture" descr="Intelligent Routing Uncertaint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Intelligent Routing Uncertainty Flowchart"/>
                    <pic:cNvPicPr>
                      <a:picLocks noChangeAspect="1" noChangeArrowheads="1"/>
                    </pic:cNvPicPr>
                  </pic:nvPicPr>
                  <pic:blipFill>
                    <a:blip r:embed="rId6"/>
                    <a:stretch>
                      <a:fillRect/>
                    </a:stretch>
                  </pic:blipFill>
                  <pic:spPr>
                    <a:xfrm>
                      <a:off x="0" y="0"/>
                      <a:ext cx="5334000" cy="5334000"/>
                    </a:xfrm>
                    <a:prstGeom prst="rect">
                      <a:avLst/>
                    </a:prstGeom>
                    <a:noFill/>
                    <a:ln w="9525">
                      <a:noFill/>
                    </a:ln>
                  </pic:spPr>
                </pic:pic>
              </a:graphicData>
            </a:graphic>
          </wp:inline>
        </w:drawing>
      </w:r>
    </w:p>
    <w:p w14:paraId="6A79A057">
      <w:pPr>
        <w:pStyle w:val="45"/>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Intelligent Routing Uncertainty Flowchart</w:t>
      </w:r>
    </w:p>
    <w:p w14:paraId="106A5F60">
      <w:pPr>
        <w:pStyle w:val="24"/>
        <w:numPr>
          <w:ilvl w:val="0"/>
          <w:numId w:val="1"/>
        </w:numPr>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Offline Resolution (High Confidence):</w:t>
      </w:r>
      <w:r>
        <w:rPr>
          <w:rFonts w:hint="default" w:ascii="Times New Roman" w:hAnsi="Times New Roman" w:cs="Times New Roman"/>
          <w:color w:val="auto"/>
          <w:sz w:val="20"/>
          <w:szCs w:val="20"/>
        </w:rPr>
        <w:t xml:space="preserve"> If probability is highly definitive and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&lt;</m:t>
        </m:r>
        <m:r>
          <m:rPr>
            <m:nor/>
            <m:sty m:val="p"/>
          </m:rPr>
          <w:rPr>
            <w:rFonts w:hint="default" w:ascii="Cambria Math" w:hAnsi="Cambria Math" w:cs="Times New Roman"/>
            <w:i w:val="0"/>
            <w:color w:val="auto"/>
            <w:sz w:val="20"/>
            <w:szCs w:val="20"/>
          </w:rPr>
          <m:t>0.15</m:t>
        </m:r>
      </m:oMath>
      <w:r>
        <w:rPr>
          <w:rFonts w:hint="default" w:ascii="Times New Roman" w:hAnsi="Times New Roman" w:cs="Times New Roman"/>
          <w:color w:val="auto"/>
          <w:sz w:val="20"/>
          <w:szCs w:val="20"/>
        </w:rPr>
        <w:t xml:space="preserve"> (Low Uncertainty), the diagnostic result is considered strictly binding. An offline report is generated, executing with zero cloud cost.</w:t>
      </w:r>
    </w:p>
    <w:p w14:paraId="51280C2A">
      <w:pPr>
        <w:pStyle w:val="24"/>
        <w:numPr>
          <w:ilvl w:val="0"/>
          <w:numId w:val="1"/>
        </w:numPr>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Cloud Escalation (Medium Confidence/High Uncertainty):</w:t>
      </w:r>
      <w:r>
        <w:rPr>
          <w:rFonts w:hint="default" w:ascii="Times New Roman" w:hAnsi="Times New Roman" w:cs="Times New Roman"/>
          <w:color w:val="auto"/>
          <w:sz w:val="20"/>
          <w:szCs w:val="20"/>
        </w:rPr>
        <w:t xml:space="preserve"> If the network flags a potential domain shift, ambiguous pathology, or an anomaly based on </w:t>
      </w:r>
      <m:oMath>
        <m:r>
          <m:rPr>
            <m:nor/>
          </m:rPr>
          <w:rPr>
            <w:rFonts w:hint="default" w:ascii="Cambria Math" w:hAnsi="Cambria Math" w:cs="Times New Roman"/>
            <w:i/>
            <w:color w:val="auto"/>
            <w:sz w:val="20"/>
            <w:szCs w:val="20"/>
          </w:rPr>
          <m:t>σ</m:t>
        </m:r>
      </m:oMath>
      <w:r>
        <w:rPr>
          <w:rFonts w:hint="default" w:ascii="Times New Roman" w:hAnsi="Times New Roman" w:cs="Times New Roman"/>
          <w:color w:val="auto"/>
          <w:sz w:val="20"/>
          <w:szCs w:val="20"/>
        </w:rPr>
        <w:t xml:space="preserve"> thresholds, it triggers immediate automated escalation to the cloud module.</w:t>
      </w:r>
    </w:p>
    <w:bookmarkEnd w:id="5"/>
    <w:p w14:paraId="6E460644">
      <w:pPr>
        <w:pStyle w:val="4"/>
        <w:rPr>
          <w:rFonts w:hint="default" w:ascii="Times New Roman" w:hAnsi="Times New Roman" w:cs="Times New Roman"/>
          <w:b/>
          <w:bCs/>
          <w:color w:val="auto"/>
          <w:sz w:val="24"/>
          <w:szCs w:val="24"/>
        </w:rPr>
      </w:pPr>
      <w:bookmarkStart w:id="6" w:name="stage-3-generative-ai-cloud-validation"/>
      <w:r>
        <w:rPr>
          <w:rFonts w:hint="default" w:ascii="Times New Roman" w:hAnsi="Times New Roman" w:cs="Times New Roman"/>
          <w:b/>
          <w:bCs/>
          <w:color w:val="auto"/>
          <w:sz w:val="24"/>
          <w:szCs w:val="24"/>
        </w:rPr>
        <w:t>3.4 Stage 3: Generative AI Cloud Validation</w:t>
      </w:r>
    </w:p>
    <w:p w14:paraId="2B7BCB24">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Upon escalation, the isolated X-ray alongside its Grad-CAM++ colored overlay mapping is transmitted securely to a vision-language cloud architecture, specifically </w:t>
      </w:r>
      <w:r>
        <w:rPr>
          <w:rFonts w:hint="default" w:ascii="Times New Roman" w:hAnsi="Times New Roman" w:cs="Times New Roman"/>
          <w:b/>
          <w:bCs/>
          <w:color w:val="auto"/>
          <w:sz w:val="20"/>
          <w:szCs w:val="20"/>
        </w:rPr>
        <w:t>Gemini 2.5 Pro</w:t>
      </w:r>
      <w:r>
        <w:rPr>
          <w:rFonts w:hint="default" w:ascii="Times New Roman" w:hAnsi="Times New Roman" w:cs="Times New Roman"/>
          <w:color w:val="auto"/>
          <w:sz w:val="20"/>
          <w:szCs w:val="20"/>
        </w:rPr>
        <w:t>. Operating within the integrated pipeline, this LLM acts as an independent “second opinion,” instructed explicitly to evaluate suspicious focal opacities and cross-validate the CNN’s localized XAI anomalies against established TB pathologies.</w:t>
      </w:r>
    </w:p>
    <w:bookmarkEnd w:id="6"/>
    <w:p w14:paraId="4DBA3933">
      <w:pPr>
        <w:pStyle w:val="4"/>
        <w:rPr>
          <w:rFonts w:hint="default" w:ascii="Times New Roman" w:hAnsi="Times New Roman" w:cs="Times New Roman"/>
          <w:b/>
          <w:bCs/>
          <w:color w:val="auto"/>
          <w:sz w:val="24"/>
          <w:szCs w:val="24"/>
        </w:rPr>
      </w:pPr>
      <w:bookmarkStart w:id="7" w:name="Xea9bcb0d1a849a584e4ec00469afcca26742831"/>
      <w:r>
        <w:rPr>
          <w:rFonts w:hint="default" w:ascii="Times New Roman" w:hAnsi="Times New Roman" w:cs="Times New Roman"/>
          <w:b/>
          <w:bCs/>
          <w:color w:val="auto"/>
          <w:sz w:val="24"/>
          <w:szCs w:val="24"/>
        </w:rPr>
        <w:t>3.5 Stage 4: Mistral Large Clinical Synthesis and RAG Integration</w:t>
      </w:r>
    </w:p>
    <w:p w14:paraId="1EABF23C">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For complex cases or those with conflicting contextual symptoms, a final </w:t>
      </w:r>
      <w:r>
        <w:rPr>
          <w:rFonts w:hint="default" w:ascii="Times New Roman" w:hAnsi="Times New Roman" w:cs="Times New Roman"/>
          <w:b/>
          <w:bCs/>
          <w:color w:val="auto"/>
          <w:sz w:val="20"/>
          <w:szCs w:val="20"/>
        </w:rPr>
        <w:t>Mistral Large</w:t>
      </w:r>
      <w:r>
        <w:rPr>
          <w:rFonts w:hint="default" w:ascii="Times New Roman" w:hAnsi="Times New Roman" w:cs="Times New Roman"/>
          <w:color w:val="auto"/>
          <w:sz w:val="20"/>
          <w:szCs w:val="20"/>
        </w:rPr>
        <w:t xml:space="preserve"> Retrieval-Augmented Generation (RAG) pipeline initializes. The Mistral node accesses a robust localized </w:t>
      </w:r>
      <w:r>
        <w:rPr>
          <w:rFonts w:hint="default" w:ascii="Times New Roman" w:hAnsi="Times New Roman" w:cs="Times New Roman"/>
          <w:b/>
          <w:bCs/>
          <w:color w:val="auto"/>
          <w:sz w:val="20"/>
          <w:szCs w:val="20"/>
        </w:rPr>
        <w:t>Qdrant Vector Database</w:t>
      </w:r>
      <w:r>
        <w:rPr>
          <w:rFonts w:hint="default" w:ascii="Times New Roman" w:hAnsi="Times New Roman" w:cs="Times New Roman"/>
          <w:color w:val="auto"/>
          <w:sz w:val="20"/>
          <w:szCs w:val="20"/>
        </w:rPr>
        <w:t xml:space="preserve"> containing validated World Health Organization (WHO) TB screening guidelines.</w:t>
      </w:r>
    </w:p>
    <w:p w14:paraId="6796C948">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Crucially, the prompt engineering applies strict age-specific medical reasoning modifiers: - </w:t>
      </w:r>
      <w:r>
        <w:rPr>
          <w:rFonts w:hint="default" w:ascii="Times New Roman" w:hAnsi="Times New Roman" w:cs="Times New Roman"/>
          <w:b/>
          <w:bCs/>
          <w:color w:val="auto"/>
          <w:sz w:val="20"/>
          <w:szCs w:val="20"/>
        </w:rPr>
        <w:t>Pediatric Constraints (Ages 0-17):</w:t>
      </w:r>
      <w:r>
        <w:rPr>
          <w:rFonts w:hint="default" w:ascii="Times New Roman" w:hAnsi="Times New Roman" w:cs="Times New Roman"/>
          <w:color w:val="auto"/>
          <w:sz w:val="20"/>
          <w:szCs w:val="20"/>
        </w:rPr>
        <w:t xml:space="preserve"> Informs the LLM that pediatric TB is typically primary and non-cavitary, prioritizing hilar lymphadenopathy evaluation [23]. - </w:t>
      </w:r>
      <w:r>
        <w:rPr>
          <w:rFonts w:hint="default" w:ascii="Times New Roman" w:hAnsi="Times New Roman" w:cs="Times New Roman"/>
          <w:b/>
          <w:bCs/>
          <w:color w:val="auto"/>
          <w:sz w:val="20"/>
          <w:szCs w:val="20"/>
        </w:rPr>
        <w:t>Senior Constraints (Ages 65+):</w:t>
      </w:r>
      <w:r>
        <w:rPr>
          <w:rFonts w:hint="default" w:ascii="Times New Roman" w:hAnsi="Times New Roman" w:cs="Times New Roman"/>
          <w:color w:val="auto"/>
          <w:sz w:val="20"/>
          <w:szCs w:val="20"/>
        </w:rPr>
        <w:t xml:space="preserve"> Instructs the model that elderly patients display blunted immune responses and atypical lower-lobe infiltrates [23].</w:t>
      </w:r>
    </w:p>
    <w:bookmarkEnd w:id="2"/>
    <w:bookmarkEnd w:id="7"/>
    <w:p w14:paraId="598F82D3">
      <w:pPr>
        <w:pStyle w:val="2"/>
        <w:rPr>
          <w:rFonts w:hint="default" w:ascii="Times New Roman" w:hAnsi="Times New Roman" w:cs="Times New Roman"/>
          <w:b/>
          <w:bCs/>
          <w:color w:val="auto"/>
          <w:sz w:val="24"/>
          <w:szCs w:val="24"/>
        </w:rPr>
      </w:pPr>
      <w:bookmarkStart w:id="8" w:name="experimental-setup"/>
      <w:r>
        <w:rPr>
          <w:rFonts w:hint="default" w:ascii="Times New Roman" w:hAnsi="Times New Roman" w:cs="Times New Roman"/>
          <w:b/>
          <w:bCs/>
          <w:color w:val="auto"/>
          <w:sz w:val="24"/>
          <w:szCs w:val="24"/>
        </w:rPr>
        <w:t>4 Experimental Setup</w:t>
      </w:r>
    </w:p>
    <w:p w14:paraId="5B6D6BDF">
      <w:pPr>
        <w:pStyle w:val="4"/>
        <w:rPr>
          <w:rFonts w:hint="default" w:ascii="Times New Roman" w:hAnsi="Times New Roman" w:cs="Times New Roman"/>
          <w:b/>
          <w:bCs/>
          <w:color w:val="auto"/>
          <w:sz w:val="20"/>
          <w:szCs w:val="20"/>
        </w:rPr>
      </w:pPr>
      <w:bookmarkStart w:id="9" w:name="datasets-and-synthesization"/>
      <w:r>
        <w:rPr>
          <w:rFonts w:hint="default" w:ascii="Times New Roman" w:hAnsi="Times New Roman" w:cs="Times New Roman"/>
          <w:b/>
          <w:bCs/>
          <w:color w:val="auto"/>
          <w:sz w:val="20"/>
          <w:szCs w:val="20"/>
        </w:rPr>
        <w:t>4.1 Datasets and Synthesization</w:t>
      </w:r>
    </w:p>
    <w:p w14:paraId="730A49FB">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CNN ensemble was trained and internally evaluated across 14,990 curated images. To ensure proper geographical distribution, images were collated from multiple public and institutional datasets:</w:t>
      </w:r>
    </w:p>
    <w:p w14:paraId="3A3221C5">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Table 1. Core Training Dataset Distributions</w:t>
      </w:r>
    </w:p>
    <w:tbl>
      <w:tblPr>
        <w:tblStyle w:val="41"/>
        <w:tblW w:w="0" w:type="auto"/>
        <w:tblInd w:w="0" w:type="dxa"/>
        <w:tblLayout w:type="autofit"/>
        <w:tblCellMar>
          <w:top w:w="0" w:type="dxa"/>
          <w:left w:w="108" w:type="dxa"/>
          <w:bottom w:w="0" w:type="dxa"/>
          <w:right w:w="108" w:type="dxa"/>
        </w:tblCellMar>
      </w:tblPr>
      <w:tblGrid>
        <w:gridCol w:w="2977"/>
        <w:gridCol w:w="1167"/>
        <w:gridCol w:w="827"/>
        <w:gridCol w:w="1266"/>
      </w:tblGrid>
      <w:tr w14:paraId="3A122B1A">
        <w:tblPrEx>
          <w:tblCellMar>
            <w:top w:w="0" w:type="dxa"/>
            <w:left w:w="108" w:type="dxa"/>
            <w:bottom w:w="0" w:type="dxa"/>
            <w:right w:w="108" w:type="dxa"/>
          </w:tblCellMar>
        </w:tblPrEx>
        <w:trPr>
          <w:tblHeader/>
        </w:trPr>
        <w:tc>
          <w:p w14:paraId="1336450F">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Dataset Source</w:t>
            </w:r>
          </w:p>
        </w:tc>
        <w:tc>
          <w:p w14:paraId="4501F0F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TB Positive</w:t>
            </w:r>
          </w:p>
        </w:tc>
        <w:tc>
          <w:p w14:paraId="550E98D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Normal</w:t>
            </w:r>
          </w:p>
        </w:tc>
        <w:tc>
          <w:p w14:paraId="22B3824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Total Images</w:t>
            </w:r>
          </w:p>
        </w:tc>
      </w:tr>
      <w:tr w14:paraId="7B8CD1DA">
        <w:tblPrEx>
          <w:tblCellMar>
            <w:top w:w="0" w:type="dxa"/>
            <w:left w:w="108" w:type="dxa"/>
            <w:bottom w:w="0" w:type="dxa"/>
            <w:right w:w="108" w:type="dxa"/>
          </w:tblCellMar>
        </w:tblPrEx>
        <w:tc>
          <w:p w14:paraId="70BC3EDB">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Shenzhen Hospital (China)</w:t>
            </w:r>
            <w:r>
              <w:rPr>
                <w:rFonts w:hint="default" w:ascii="Times New Roman" w:hAnsi="Times New Roman" w:cs="Times New Roman"/>
                <w:color w:val="auto"/>
                <w:sz w:val="20"/>
                <w:szCs w:val="20"/>
              </w:rPr>
              <w:t xml:space="preserve"> [24]</w:t>
            </w:r>
          </w:p>
        </w:tc>
        <w:tc>
          <w:p w14:paraId="2EF3AF40">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336</w:t>
            </w:r>
          </w:p>
        </w:tc>
        <w:tc>
          <w:p w14:paraId="041D39C0">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326</w:t>
            </w:r>
          </w:p>
        </w:tc>
        <w:tc>
          <w:p w14:paraId="604ADE9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662</w:t>
            </w:r>
          </w:p>
        </w:tc>
      </w:tr>
      <w:tr w14:paraId="5238788D">
        <w:tblPrEx>
          <w:tblCellMar>
            <w:top w:w="0" w:type="dxa"/>
            <w:left w:w="108" w:type="dxa"/>
            <w:bottom w:w="0" w:type="dxa"/>
            <w:right w:w="108" w:type="dxa"/>
          </w:tblCellMar>
        </w:tblPrEx>
        <w:tc>
          <w:p w14:paraId="6A830DA2">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Montgomery County (USA)</w:t>
            </w:r>
            <w:r>
              <w:rPr>
                <w:rFonts w:hint="default" w:ascii="Times New Roman" w:hAnsi="Times New Roman" w:cs="Times New Roman"/>
                <w:color w:val="auto"/>
                <w:sz w:val="20"/>
                <w:szCs w:val="20"/>
              </w:rPr>
              <w:t xml:space="preserve"> [24]</w:t>
            </w:r>
          </w:p>
        </w:tc>
        <w:tc>
          <w:p w14:paraId="2EC52939">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58</w:t>
            </w:r>
          </w:p>
        </w:tc>
        <w:tc>
          <w:p w14:paraId="46A56AD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80</w:t>
            </w:r>
          </w:p>
        </w:tc>
        <w:tc>
          <w:p w14:paraId="053E4B1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138</w:t>
            </w:r>
          </w:p>
        </w:tc>
      </w:tr>
      <w:tr w14:paraId="61C660F5">
        <w:tblPrEx>
          <w:tblCellMar>
            <w:top w:w="0" w:type="dxa"/>
            <w:left w:w="108" w:type="dxa"/>
            <w:bottom w:w="0" w:type="dxa"/>
            <w:right w:w="108" w:type="dxa"/>
          </w:tblCellMar>
        </w:tblPrEx>
        <w:tc>
          <w:p w14:paraId="42B6150C">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TBX11K (Institutional)</w:t>
            </w:r>
            <w:r>
              <w:rPr>
                <w:rFonts w:hint="default" w:ascii="Times New Roman" w:hAnsi="Times New Roman" w:cs="Times New Roman"/>
                <w:color w:val="auto"/>
                <w:sz w:val="20"/>
                <w:szCs w:val="20"/>
              </w:rPr>
              <w:t xml:space="preserve"> [25]</w:t>
            </w:r>
          </w:p>
        </w:tc>
        <w:tc>
          <w:p w14:paraId="3C1377FF">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~4,800</w:t>
            </w:r>
          </w:p>
        </w:tc>
        <w:tc>
          <w:p w14:paraId="345E4BA9">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~5,200</w:t>
            </w:r>
          </w:p>
        </w:tc>
        <w:tc>
          <w:p w14:paraId="4575097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~10,000</w:t>
            </w:r>
          </w:p>
        </w:tc>
      </w:tr>
      <w:tr w14:paraId="256FDF59">
        <w:tblPrEx>
          <w:tblCellMar>
            <w:top w:w="0" w:type="dxa"/>
            <w:left w:w="108" w:type="dxa"/>
            <w:bottom w:w="0" w:type="dxa"/>
            <w:right w:w="108" w:type="dxa"/>
          </w:tblCellMar>
        </w:tblPrEx>
        <w:tc>
          <w:p w14:paraId="4F9317AD">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NIH / Kaggle Archives</w:t>
            </w:r>
          </w:p>
        </w:tc>
        <w:tc>
          <w:p w14:paraId="795E4EAD">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1,306</w:t>
            </w:r>
          </w:p>
        </w:tc>
        <w:tc>
          <w:p w14:paraId="0A4F4F9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2,884</w:t>
            </w:r>
          </w:p>
        </w:tc>
        <w:tc>
          <w:p w14:paraId="2B3974AC">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4,190</w:t>
            </w:r>
          </w:p>
        </w:tc>
      </w:tr>
      <w:tr w14:paraId="43203A0B">
        <w:tblPrEx>
          <w:tblCellMar>
            <w:top w:w="0" w:type="dxa"/>
            <w:left w:w="108" w:type="dxa"/>
            <w:bottom w:w="0" w:type="dxa"/>
            <w:right w:w="108" w:type="dxa"/>
          </w:tblCellMar>
        </w:tblPrEx>
        <w:tc>
          <w:p w14:paraId="6E2ED773">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Total Global Assembly</w:t>
            </w:r>
          </w:p>
        </w:tc>
        <w:tc>
          <w:p w14:paraId="426337EB">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~6,500</w:t>
            </w:r>
          </w:p>
        </w:tc>
        <w:tc>
          <w:p w14:paraId="610E329D">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~8,500</w:t>
            </w:r>
          </w:p>
        </w:tc>
        <w:tc>
          <w:p w14:paraId="0186B066">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~14,990</w:t>
            </w:r>
          </w:p>
        </w:tc>
      </w:tr>
    </w:tbl>
    <w:p w14:paraId="2F53E7ED">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definitively prevent algorithmic data leakage, strict patient-level dataset stratification was uniformly maintained across standard 70/15/15 splits, resulting in approximately 10,493 images for training, 2,248 for validation testing, and an isolated 4,219 sample test set.</w:t>
      </w:r>
    </w:p>
    <w:p w14:paraId="20F7D024">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inhibit overfitting to hardware artifacts (such as medical leads or localized contrast shifts), extensive data augmentations were layered natively during collation: Random Rotations (</w:t>
      </w:r>
      <m:oMath>
        <m:r>
          <m:rPr>
            <m:nor/>
            <m:sty m:val="p"/>
          </m:rPr>
          <w:rPr>
            <w:rFonts w:hint="default" w:ascii="Cambria Math" w:hAnsi="Cambria Math" w:cs="Times New Roman"/>
            <w:b w:val="0"/>
            <w:i w:val="0"/>
            <w:color w:val="auto"/>
            <w:sz w:val="20"/>
            <w:szCs w:val="20"/>
          </w:rPr>
          <m:t>±</m:t>
        </m:r>
        <m:sSup>
          <m:sSupPr>
            <m:ctrlPr>
              <w:rPr>
                <w:rFonts w:hint="default" w:ascii="Cambria Math" w:hAnsi="Cambria Math" w:cs="Times New Roman"/>
                <w:color w:val="auto"/>
                <w:sz w:val="20"/>
                <w:szCs w:val="20"/>
              </w:rPr>
            </m:ctrlPr>
          </m:sSupPr>
          <m:e>
            <m:r>
              <m:rPr>
                <m:nor/>
                <m:sty m:val="p"/>
              </m:rPr>
              <w:rPr>
                <w:rFonts w:hint="default" w:ascii="Cambria Math" w:hAnsi="Cambria Math" w:cs="Times New Roman"/>
                <w:i w:val="0"/>
                <w:color w:val="auto"/>
                <w:sz w:val="20"/>
                <w:szCs w:val="20"/>
              </w:rPr>
              <m:t>10</m:t>
            </m:r>
            <m:ctrlPr>
              <w:rPr>
                <w:rFonts w:hint="default" w:ascii="Cambria Math" w:hAnsi="Cambria Math" w:cs="Times New Roman"/>
                <w:color w:val="auto"/>
                <w:sz w:val="20"/>
                <w:szCs w:val="20"/>
              </w:rPr>
            </m:ctrlPr>
          </m:e>
          <m:sup>
            <m:r>
              <m:rPr>
                <m:nor/>
                <m:sty m:val="p"/>
              </m:rPr>
              <w:rPr>
                <w:rFonts w:hint="default" w:ascii="Cambria Math" w:hAnsi="Cambria Math" w:cs="Times New Roman"/>
                <w:b w:val="0"/>
                <w:i w:val="0"/>
                <w:color w:val="auto"/>
                <w:sz w:val="20"/>
                <w:szCs w:val="20"/>
              </w:rPr>
              <m:t>∘</m:t>
            </m:r>
            <m:ctrlPr>
              <w:rPr>
                <w:rFonts w:hint="default" w:ascii="Cambria Math" w:hAnsi="Cambria Math" w:cs="Times New Roman"/>
                <w:color w:val="auto"/>
                <w:sz w:val="20"/>
                <w:szCs w:val="20"/>
              </w:rPr>
            </m:ctrlPr>
          </m:sup>
        </m:sSup>
      </m:oMath>
      <w:r>
        <w:rPr>
          <w:rFonts w:hint="default" w:ascii="Times New Roman" w:hAnsi="Times New Roman" w:cs="Times New Roman"/>
          <w:color w:val="auto"/>
          <w:sz w:val="20"/>
          <w:szCs w:val="20"/>
        </w:rPr>
        <w:t>), Horizontal Mirroring (50% probability), Grid Distortions (</w:t>
      </w:r>
      <m:oMath>
        <m:r>
          <m:rPr>
            <m:nor/>
          </m:rPr>
          <w:rPr>
            <w:rFonts w:hint="default" w:ascii="Cambria Math" w:hAnsi="Cambria Math" w:cs="Times New Roman"/>
            <w:i/>
            <w:color w:val="auto"/>
            <w:sz w:val="20"/>
            <w:szCs w:val="20"/>
          </w:rPr>
          <m:t>p</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0.2</m:t>
        </m:r>
      </m:oMath>
      <w:r>
        <w:rPr>
          <w:rFonts w:hint="default" w:ascii="Times New Roman" w:hAnsi="Times New Roman" w:cs="Times New Roman"/>
          <w:color w:val="auto"/>
          <w:sz w:val="20"/>
          <w:szCs w:val="20"/>
        </w:rPr>
        <w:t>), Gaussian noise, and Brightness shifts. All arrays were systematically resized to 224$$224 pixels in normalized grayscale.</w:t>
      </w:r>
    </w:p>
    <w:bookmarkEnd w:id="9"/>
    <w:p w14:paraId="0B080D22">
      <w:pPr>
        <w:pStyle w:val="4"/>
        <w:rPr>
          <w:rFonts w:hint="default" w:ascii="Times New Roman" w:hAnsi="Times New Roman" w:cs="Times New Roman"/>
          <w:b/>
          <w:bCs/>
          <w:color w:val="auto"/>
          <w:sz w:val="20"/>
          <w:szCs w:val="20"/>
        </w:rPr>
      </w:pPr>
      <w:bookmarkStart w:id="10" w:name="implementation-constraints"/>
      <w:r>
        <w:rPr>
          <w:rFonts w:hint="default" w:ascii="Times New Roman" w:hAnsi="Times New Roman" w:cs="Times New Roman"/>
          <w:b/>
          <w:bCs/>
          <w:color w:val="auto"/>
          <w:sz w:val="20"/>
          <w:szCs w:val="20"/>
        </w:rPr>
        <w:t>4.2 Implementation Constraints</w:t>
      </w:r>
    </w:p>
    <w:p w14:paraId="74907F79">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The ensemble components were initialized utilizing transfer learning from established ImageNet weights. Optimal metric convergences triggered following deployment of an AdamW optimizer (Learning Rate = </w:t>
      </w:r>
      <m:oMath>
        <m:r>
          <m:rPr>
            <m:nor/>
            <m:sty m:val="p"/>
          </m:rPr>
          <w:rPr>
            <w:rFonts w:hint="default" w:ascii="Cambria Math" w:hAnsi="Cambria Math" w:cs="Times New Roman"/>
            <w:i w:val="0"/>
            <w:color w:val="auto"/>
            <w:sz w:val="20"/>
            <w:szCs w:val="20"/>
          </w:rPr>
          <m:t>1</m:t>
        </m:r>
        <m:r>
          <m:rPr>
            <m:nor/>
          </m:rPr>
          <w:rPr>
            <w:rFonts w:hint="default" w:ascii="Cambria Math" w:hAnsi="Cambria Math" w:cs="Times New Roman"/>
            <w:i/>
            <w:color w:val="auto"/>
            <w:sz w:val="20"/>
            <w:szCs w:val="20"/>
          </w:rPr>
          <m:t>e</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4</m:t>
        </m:r>
      </m:oMath>
      <w:r>
        <w:rPr>
          <w:rFonts w:hint="default" w:ascii="Times New Roman" w:hAnsi="Times New Roman" w:cs="Times New Roman"/>
          <w:color w:val="auto"/>
          <w:sz w:val="20"/>
          <w:szCs w:val="20"/>
        </w:rPr>
        <w:t xml:space="preserve">, Weight Decay = </w:t>
      </w:r>
      <m:oMath>
        <m:r>
          <m:rPr>
            <m:nor/>
            <m:sty m:val="p"/>
          </m:rPr>
          <w:rPr>
            <w:rFonts w:hint="default" w:ascii="Cambria Math" w:hAnsi="Cambria Math" w:cs="Times New Roman"/>
            <w:i w:val="0"/>
            <w:color w:val="auto"/>
            <w:sz w:val="20"/>
            <w:szCs w:val="20"/>
          </w:rPr>
          <m:t>1</m:t>
        </m:r>
        <m:r>
          <m:rPr>
            <m:nor/>
          </m:rPr>
          <w:rPr>
            <w:rFonts w:hint="default" w:ascii="Cambria Math" w:hAnsi="Cambria Math" w:cs="Times New Roman"/>
            <w:i/>
            <w:color w:val="auto"/>
            <w:sz w:val="20"/>
            <w:szCs w:val="20"/>
          </w:rPr>
          <m:t>e</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5</m:t>
        </m:r>
      </m:oMath>
      <w:r>
        <w:rPr>
          <w:rFonts w:hint="default" w:ascii="Times New Roman" w:hAnsi="Times New Roman" w:cs="Times New Roman"/>
          <w:color w:val="auto"/>
          <w:sz w:val="20"/>
          <w:szCs w:val="20"/>
        </w:rPr>
        <w:t>). The objective loss was measured using Binary Cross-Entropy. The network checkpoints utilized Early Stopping relying strictly on a partitioned 15% validation subset.</w:t>
      </w:r>
    </w:p>
    <w:bookmarkEnd w:id="8"/>
    <w:bookmarkEnd w:id="10"/>
    <w:p w14:paraId="3D265C48">
      <w:pPr>
        <w:pStyle w:val="2"/>
        <w:rPr>
          <w:rFonts w:hint="default" w:ascii="Times New Roman" w:hAnsi="Times New Roman" w:cs="Times New Roman"/>
          <w:b/>
          <w:bCs/>
          <w:color w:val="auto"/>
          <w:sz w:val="24"/>
          <w:szCs w:val="24"/>
        </w:rPr>
      </w:pPr>
      <w:bookmarkStart w:id="11" w:name="experimental-results"/>
      <w:r>
        <w:rPr>
          <w:rFonts w:hint="default" w:ascii="Times New Roman" w:hAnsi="Times New Roman" w:cs="Times New Roman"/>
          <w:b/>
          <w:bCs/>
          <w:color w:val="auto"/>
          <w:sz w:val="24"/>
          <w:szCs w:val="24"/>
        </w:rPr>
        <w:t>5 Experimental Results</w:t>
      </w:r>
    </w:p>
    <w:p w14:paraId="069D2B95">
      <w:pPr>
        <w:pStyle w:val="4"/>
        <w:rPr>
          <w:rFonts w:hint="default" w:ascii="Times New Roman" w:hAnsi="Times New Roman" w:cs="Times New Roman"/>
          <w:b/>
          <w:bCs/>
          <w:color w:val="auto"/>
          <w:sz w:val="20"/>
          <w:szCs w:val="20"/>
        </w:rPr>
      </w:pPr>
      <w:bookmarkStart w:id="12" w:name="system-comparisons-ablation-baselines"/>
      <w:r>
        <w:rPr>
          <w:rFonts w:hint="default" w:ascii="Times New Roman" w:hAnsi="Times New Roman" w:cs="Times New Roman"/>
          <w:b/>
          <w:bCs/>
          <w:color w:val="auto"/>
          <w:sz w:val="20"/>
          <w:szCs w:val="20"/>
        </w:rPr>
        <w:t>5.1 System Comparisons &amp; Ablation Baselines</w:t>
      </w:r>
    </w:p>
    <w:p w14:paraId="2BDE64FF">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Evaluations ran comprehensively across our isolated test set comprising 4,219 un-encountered samples. To mathematically isolate the advantage of our ensembled architecture, we baselined the aggregated system directly against singular component models trained simultaneously.</w:t>
      </w:r>
    </w:p>
    <w:p w14:paraId="3C29A7B5">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Table 2. Single Architecture Baselines vs. Proposed Ensemble (n=4,219).</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21B9F558">
        <w:tblPrEx>
          <w:tblCellMar>
            <w:top w:w="0" w:type="dxa"/>
            <w:left w:w="108" w:type="dxa"/>
            <w:bottom w:w="0" w:type="dxa"/>
            <w:right w:w="108" w:type="dxa"/>
          </w:tblCellMar>
        </w:tblPrEx>
        <w:trPr>
          <w:tblHeader/>
        </w:trPr>
        <w:tc>
          <w:p w14:paraId="0F762AF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Model Configuration</w:t>
            </w:r>
          </w:p>
        </w:tc>
        <w:tc>
          <w:p w14:paraId="5F05A1BE">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Test Accuracy</w:t>
            </w:r>
          </w:p>
        </w:tc>
        <w:tc>
          <w:p w14:paraId="1D93328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AUC-ROC</w:t>
            </w:r>
          </w:p>
        </w:tc>
        <w:tc>
          <w:p w14:paraId="10BBE54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Sensitivity</w:t>
            </w:r>
          </w:p>
        </w:tc>
      </w:tr>
      <w:tr w14:paraId="7D0C57AD">
        <w:tblPrEx>
          <w:tblCellMar>
            <w:top w:w="0" w:type="dxa"/>
            <w:left w:w="108" w:type="dxa"/>
            <w:bottom w:w="0" w:type="dxa"/>
            <w:right w:w="108" w:type="dxa"/>
          </w:tblCellMar>
        </w:tblPrEx>
        <w:tc>
          <w:p w14:paraId="6EEB8DC7">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ResNet50 (Baseline)</w:t>
            </w:r>
          </w:p>
        </w:tc>
        <w:tc>
          <w:p w14:paraId="0DD28D2C">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92.4%</w:t>
            </w:r>
          </w:p>
        </w:tc>
        <w:tc>
          <w:p w14:paraId="1786E7A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0.941</w:t>
            </w:r>
          </w:p>
        </w:tc>
        <w:tc>
          <w:p w14:paraId="6FC4679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89.2%</w:t>
            </w:r>
          </w:p>
        </w:tc>
      </w:tr>
      <w:tr w14:paraId="21771801">
        <w:tblPrEx>
          <w:tblCellMar>
            <w:top w:w="0" w:type="dxa"/>
            <w:left w:w="108" w:type="dxa"/>
            <w:bottom w:w="0" w:type="dxa"/>
            <w:right w:w="108" w:type="dxa"/>
          </w:tblCellMar>
        </w:tblPrEx>
        <w:tc>
          <w:p w14:paraId="3980B3FC">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DenseNet121 (Baseline)</w:t>
            </w:r>
          </w:p>
        </w:tc>
        <w:tc>
          <w:p w14:paraId="60B4945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94.1%</w:t>
            </w:r>
          </w:p>
        </w:tc>
        <w:tc>
          <w:p w14:paraId="4A5D184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0.965</w:t>
            </w:r>
          </w:p>
        </w:tc>
        <w:tc>
          <w:p w14:paraId="475BCDA5">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91.5%</w:t>
            </w:r>
          </w:p>
        </w:tc>
      </w:tr>
      <w:tr w14:paraId="6858C939">
        <w:tblPrEx>
          <w:tblCellMar>
            <w:top w:w="0" w:type="dxa"/>
            <w:left w:w="108" w:type="dxa"/>
            <w:bottom w:w="0" w:type="dxa"/>
            <w:right w:w="108" w:type="dxa"/>
          </w:tblCellMar>
        </w:tblPrEx>
        <w:tc>
          <w:p w14:paraId="212B0EC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EfficientNet-B4 (Baseline)</w:t>
            </w:r>
          </w:p>
        </w:tc>
        <w:tc>
          <w:p w14:paraId="27A1BB75">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95.3%</w:t>
            </w:r>
          </w:p>
        </w:tc>
        <w:tc>
          <w:p w14:paraId="09E06FB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0.972</w:t>
            </w:r>
          </w:p>
        </w:tc>
        <w:tc>
          <w:p w14:paraId="7227DCB2">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92.8%</w:t>
            </w:r>
          </w:p>
        </w:tc>
      </w:tr>
      <w:tr w14:paraId="1E277CAA">
        <w:tblPrEx>
          <w:tblCellMar>
            <w:top w:w="0" w:type="dxa"/>
            <w:left w:w="108" w:type="dxa"/>
            <w:bottom w:w="0" w:type="dxa"/>
            <w:right w:w="108" w:type="dxa"/>
          </w:tblCellMar>
        </w:tblPrEx>
        <w:tc>
          <w:p w14:paraId="088F7557">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Proposed Ensemble</w:t>
            </w:r>
          </w:p>
        </w:tc>
        <w:tc>
          <w:p w14:paraId="7D3EA2EA">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 xml:space="preserve">97.8% </w:t>
            </w:r>
            <m:oMath>
              <m:r>
                <m:rPr>
                  <m:nor/>
                  <m:sty m:val="p"/>
                </m:rPr>
                <w:rPr>
                  <w:rFonts w:hint="default" w:ascii="Cambria Math" w:hAnsi="Cambria Math" w:cs="Times New Roman"/>
                  <w:b w:val="0"/>
                  <w:i w:val="0"/>
                  <w:color w:val="auto"/>
                  <w:sz w:val="20"/>
                  <w:szCs w:val="20"/>
                </w:rPr>
                <m:t>±</m:t>
              </m:r>
            </m:oMath>
            <w:r>
              <w:rPr>
                <w:rFonts w:hint="default" w:ascii="Times New Roman" w:hAnsi="Times New Roman" w:cs="Times New Roman"/>
                <w:b/>
                <w:bCs/>
                <w:color w:val="auto"/>
                <w:sz w:val="20"/>
                <w:szCs w:val="20"/>
              </w:rPr>
              <w:t xml:space="preserve"> 0.6 (95% CI)</w:t>
            </w:r>
          </w:p>
        </w:tc>
        <w:tc>
          <w:p w14:paraId="3E7E4F12">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0.994</w:t>
            </w:r>
          </w:p>
        </w:tc>
        <w:tc>
          <w:p w14:paraId="1851AFC8">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94.7%</w:t>
            </w:r>
          </w:p>
        </w:tc>
      </w:tr>
    </w:tbl>
    <w:p w14:paraId="261294DB">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Table 3. Inferential Runtime Benchmarks (Intel Core i5 CPU, 8GB RAM).</w:t>
      </w:r>
    </w:p>
    <w:tbl>
      <w:tblPr>
        <w:tblStyle w:val="41"/>
        <w:tblW w:w="0" w:type="auto"/>
        <w:tblInd w:w="0" w:type="dxa"/>
        <w:tblLayout w:type="autofit"/>
        <w:tblCellMar>
          <w:top w:w="0" w:type="dxa"/>
          <w:left w:w="108" w:type="dxa"/>
          <w:bottom w:w="0" w:type="dxa"/>
          <w:right w:w="108" w:type="dxa"/>
        </w:tblCellMar>
      </w:tblPr>
      <w:tblGrid>
        <w:gridCol w:w="1911"/>
        <w:gridCol w:w="2171"/>
      </w:tblGrid>
      <w:tr w14:paraId="0982F5DF">
        <w:tblPrEx>
          <w:tblCellMar>
            <w:top w:w="0" w:type="dxa"/>
            <w:left w:w="108" w:type="dxa"/>
            <w:bottom w:w="0" w:type="dxa"/>
            <w:right w:w="108" w:type="dxa"/>
          </w:tblCellMar>
        </w:tblPrEx>
        <w:trPr>
          <w:tblHeader/>
        </w:trPr>
        <w:tc>
          <w:p w14:paraId="1F5548C3">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Model Configuration</w:t>
            </w:r>
          </w:p>
        </w:tc>
        <w:tc>
          <w:p w14:paraId="295158F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Average Inference Time</w:t>
            </w:r>
          </w:p>
        </w:tc>
      </w:tr>
      <w:tr w14:paraId="472E49D8">
        <w:tblPrEx>
          <w:tblCellMar>
            <w:top w:w="0" w:type="dxa"/>
            <w:left w:w="108" w:type="dxa"/>
            <w:bottom w:w="0" w:type="dxa"/>
            <w:right w:w="108" w:type="dxa"/>
          </w:tblCellMar>
        </w:tblPrEx>
        <w:tc>
          <w:p w14:paraId="0AA3DE73">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ResNet50</w:t>
            </w:r>
          </w:p>
        </w:tc>
        <w:tc>
          <w:p w14:paraId="0511550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1.2 s</w:t>
            </w:r>
          </w:p>
        </w:tc>
      </w:tr>
      <w:tr w14:paraId="7C267CCF">
        <w:tblPrEx>
          <w:tblCellMar>
            <w:top w:w="0" w:type="dxa"/>
            <w:left w:w="108" w:type="dxa"/>
            <w:bottom w:w="0" w:type="dxa"/>
            <w:right w:w="108" w:type="dxa"/>
          </w:tblCellMar>
        </w:tblPrEx>
        <w:tc>
          <w:p w14:paraId="185E706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DenseNet121</w:t>
            </w:r>
          </w:p>
        </w:tc>
        <w:tc>
          <w:p w14:paraId="79BEADE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1.6 s</w:t>
            </w:r>
          </w:p>
        </w:tc>
      </w:tr>
      <w:tr w14:paraId="575E05B1">
        <w:tblPrEx>
          <w:tblCellMar>
            <w:top w:w="0" w:type="dxa"/>
            <w:left w:w="108" w:type="dxa"/>
            <w:bottom w:w="0" w:type="dxa"/>
            <w:right w:w="108" w:type="dxa"/>
          </w:tblCellMar>
        </w:tblPrEx>
        <w:tc>
          <w:p w14:paraId="03332E2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EfficientNet-B4</w:t>
            </w:r>
          </w:p>
        </w:tc>
        <w:tc>
          <w:p w14:paraId="397C532F">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1.8 s</w:t>
            </w:r>
          </w:p>
        </w:tc>
      </w:tr>
      <w:tr w14:paraId="2A88C56F">
        <w:tblPrEx>
          <w:tblCellMar>
            <w:top w:w="0" w:type="dxa"/>
            <w:left w:w="108" w:type="dxa"/>
            <w:bottom w:w="0" w:type="dxa"/>
            <w:right w:w="108" w:type="dxa"/>
          </w:tblCellMar>
        </w:tblPrEx>
        <w:tc>
          <w:p w14:paraId="09B173B8">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System Ensemble</w:t>
            </w:r>
          </w:p>
        </w:tc>
        <w:tc>
          <w:p w14:paraId="1F415E7C">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2.3 s</w:t>
            </w:r>
          </w:p>
        </w:tc>
      </w:tr>
    </w:tbl>
    <w:p w14:paraId="5F662A3D">
      <w:pPr>
        <w:pStyle w:val="4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114300" distR="114300">
            <wp:extent cx="5334000" cy="4000500"/>
            <wp:effectExtent l="0" t="0" r="0" b="0"/>
            <wp:docPr id="27" name="Picture" descr="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ROC Curve"/>
                    <pic:cNvPicPr>
                      <a:picLocks noChangeAspect="1" noChangeArrowheads="1"/>
                    </pic:cNvPicPr>
                  </pic:nvPicPr>
                  <pic:blipFill>
                    <a:blip r:embed="rId7"/>
                    <a:stretch>
                      <a:fillRect/>
                    </a:stretch>
                  </pic:blipFill>
                  <pic:spPr>
                    <a:xfrm>
                      <a:off x="0" y="0"/>
                      <a:ext cx="5334000" cy="4000500"/>
                    </a:xfrm>
                    <a:prstGeom prst="rect">
                      <a:avLst/>
                    </a:prstGeom>
                    <a:noFill/>
                    <a:ln w="9525">
                      <a:noFill/>
                    </a:ln>
                  </pic:spPr>
                </pic:pic>
              </a:graphicData>
            </a:graphic>
          </wp:inline>
        </w:drawing>
      </w:r>
    </w:p>
    <w:p w14:paraId="75DED7F0">
      <w:pPr>
        <w:pStyle w:val="45"/>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ROC Curve</w:t>
      </w:r>
    </w:p>
    <w:p w14:paraId="3059012B">
      <w:pPr>
        <w:pStyle w:val="4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114300" distR="114300">
            <wp:extent cx="5334000" cy="4298950"/>
            <wp:effectExtent l="0" t="0" r="0" b="0"/>
            <wp:docPr id="30" name="Picture" descr="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Confusion Matrix"/>
                    <pic:cNvPicPr>
                      <a:picLocks noChangeAspect="1" noChangeArrowheads="1"/>
                    </pic:cNvPicPr>
                  </pic:nvPicPr>
                  <pic:blipFill>
                    <a:blip r:embed="rId8"/>
                    <a:stretch>
                      <a:fillRect/>
                    </a:stretch>
                  </pic:blipFill>
                  <pic:spPr>
                    <a:xfrm>
                      <a:off x="0" y="0"/>
                      <a:ext cx="5334000" cy="4299408"/>
                    </a:xfrm>
                    <a:prstGeom prst="rect">
                      <a:avLst/>
                    </a:prstGeom>
                    <a:noFill/>
                    <a:ln w="9525">
                      <a:noFill/>
                    </a:ln>
                  </pic:spPr>
                </pic:pic>
              </a:graphicData>
            </a:graphic>
          </wp:inline>
        </w:drawing>
      </w:r>
    </w:p>
    <w:p w14:paraId="41DD9D49">
      <w:pPr>
        <w:pStyle w:val="45"/>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Confusion Matrix</w:t>
      </w:r>
    </w:p>
    <w:p w14:paraId="34326214">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Crucially, we then cross-referenced our TB-Guard-XAI offline test capabilities against established commercial cloud-only CAD solutions heavily deployed throughout high-burden corridors.</w:t>
      </w:r>
    </w:p>
    <w:p w14:paraId="00F5EDC9">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Table 4. Evaluation of Proposed Model vs. Existing Commercial CAD Solutions.</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499C194B">
        <w:trPr>
          <w:tblHeader/>
        </w:trPr>
        <w:tc>
          <w:p w14:paraId="444CFA0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Screening System</w:t>
            </w:r>
          </w:p>
        </w:tc>
        <w:tc>
          <w:p w14:paraId="27F3F997">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Architecture</w:t>
            </w:r>
          </w:p>
        </w:tc>
        <w:tc>
          <w:p w14:paraId="10AC318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Avg. Accuracy</w:t>
            </w:r>
          </w:p>
        </w:tc>
        <w:tc>
          <w:p w14:paraId="6E7A222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Avg. Sensitivity</w:t>
            </w:r>
          </w:p>
        </w:tc>
        <w:tc>
          <w:p w14:paraId="153DE199">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Offline Mode</w:t>
            </w:r>
          </w:p>
        </w:tc>
        <w:tc>
          <w:p w14:paraId="0A478304">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Est. Cost / Scan</w:t>
            </w:r>
          </w:p>
        </w:tc>
      </w:tr>
      <w:tr w14:paraId="60BFABE2">
        <w:tblPrEx>
          <w:tblCellMar>
            <w:top w:w="0" w:type="dxa"/>
            <w:left w:w="108" w:type="dxa"/>
            <w:bottom w:w="0" w:type="dxa"/>
            <w:right w:w="108" w:type="dxa"/>
          </w:tblCellMar>
        </w:tblPrEx>
        <w:tc>
          <w:p w14:paraId="7B5519CE">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CAD4TB (v6) [Murphy et al., 2020]</w:t>
            </w:r>
          </w:p>
        </w:tc>
        <w:tc>
          <w:p w14:paraId="1E3E3C2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Proprietary DL</w:t>
            </w:r>
          </w:p>
        </w:tc>
        <w:tc>
          <w:p w14:paraId="5498479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~88.0%</w:t>
            </w:r>
          </w:p>
        </w:tc>
        <w:tc>
          <w:p w14:paraId="45DFB95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~85.0%</w:t>
            </w:r>
          </w:p>
        </w:tc>
        <w:tc>
          <w:p w14:paraId="0EAE511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Cloud Only</w:t>
            </w:r>
          </w:p>
        </w:tc>
        <w:tc>
          <w:p w14:paraId="4284DD26">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~$1.00 - $3.00</w:t>
            </w:r>
          </w:p>
        </w:tc>
      </w:tr>
      <w:tr w14:paraId="654C8890">
        <w:tblPrEx>
          <w:tblCellMar>
            <w:top w:w="0" w:type="dxa"/>
            <w:left w:w="108" w:type="dxa"/>
            <w:bottom w:w="0" w:type="dxa"/>
            <w:right w:w="108" w:type="dxa"/>
          </w:tblCellMar>
        </w:tblPrEx>
        <w:tc>
          <w:p w14:paraId="2EF8F9DD">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qXR (Qure.ai) [Nash et al., 2020]</w:t>
            </w:r>
          </w:p>
        </w:tc>
        <w:tc>
          <w:p w14:paraId="59997907">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Proprietary DL</w:t>
            </w:r>
          </w:p>
        </w:tc>
        <w:tc>
          <w:p w14:paraId="76713321">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~90.0%</w:t>
            </w:r>
          </w:p>
        </w:tc>
        <w:tc>
          <w:p w14:paraId="7650B19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~88.0%</w:t>
            </w:r>
          </w:p>
        </w:tc>
        <w:tc>
          <w:p w14:paraId="45460720">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Cloud Only</w:t>
            </w:r>
          </w:p>
        </w:tc>
        <w:tc>
          <w:p w14:paraId="72FC8C13">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~$2.00 - $5.00</w:t>
            </w:r>
          </w:p>
        </w:tc>
      </w:tr>
      <w:tr w14:paraId="1412AE62">
        <w:tblPrEx>
          <w:tblCellMar>
            <w:top w:w="0" w:type="dxa"/>
            <w:left w:w="108" w:type="dxa"/>
            <w:bottom w:w="0" w:type="dxa"/>
            <w:right w:w="108" w:type="dxa"/>
          </w:tblCellMar>
        </w:tblPrEx>
        <w:tc>
          <w:p w14:paraId="1D5A5ECD">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TB-Guard-XAI</w:t>
            </w:r>
          </w:p>
        </w:tc>
        <w:tc>
          <w:p w14:paraId="0F04FD38">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Open XAI Ensemble</w:t>
            </w:r>
          </w:p>
        </w:tc>
        <w:tc>
          <w:p w14:paraId="0DF298AD">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94.2% (Gen)</w:t>
            </w:r>
          </w:p>
        </w:tc>
        <w:tc>
          <w:p w14:paraId="3014A5D2">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94.7%</w:t>
            </w:r>
          </w:p>
        </w:tc>
        <w:tc>
          <w:p w14:paraId="33B9B362">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60-80% Offline</w:t>
            </w:r>
          </w:p>
        </w:tc>
        <w:tc>
          <w:p w14:paraId="7229C6CA">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~$0.02</w:t>
            </w:r>
          </w:p>
        </w:tc>
      </w:tr>
    </w:tbl>
    <w:p w14:paraId="49B05886">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w:t>
      </w:r>
      <w:bookmarkStart w:id="19" w:name="_GoBack"/>
      <w:bookmarkEnd w:id="19"/>
      <w:r>
        <w:rPr>
          <w:rFonts w:hint="default" w:ascii="Times New Roman" w:hAnsi="Times New Roman" w:cs="Times New Roman"/>
          <w:i/>
          <w:iCs/>
          <w:color w:val="auto"/>
          <w:sz w:val="20"/>
          <w:szCs w:val="20"/>
        </w:rPr>
        <w:t>Note: “94.2% (Gen)” indicates our multi-dataset generalization average; whereas maximum test set specificity was 98.9%, retaining an AUC-ROC of 0.994.)</w:t>
      </w:r>
    </w:p>
    <w:p w14:paraId="3F560E72">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Following standard inferential outputs, calibration profiling returned an Expected Calibration Error (ECE) equaling </w:t>
      </w:r>
      <w:r>
        <w:rPr>
          <w:rFonts w:hint="default" w:ascii="Times New Roman" w:hAnsi="Times New Roman" w:cs="Times New Roman"/>
          <w:b/>
          <w:bCs/>
          <w:color w:val="auto"/>
          <w:sz w:val="20"/>
          <w:szCs w:val="20"/>
        </w:rPr>
        <w:t>0.173</w:t>
      </w:r>
      <w:r>
        <w:rPr>
          <w:rFonts w:hint="default" w:ascii="Times New Roman" w:hAnsi="Times New Roman" w:cs="Times New Roman"/>
          <w:color w:val="auto"/>
          <w:sz w:val="20"/>
          <w:szCs w:val="20"/>
        </w:rPr>
        <w:t>.</w:t>
      </w:r>
    </w:p>
    <w:p w14:paraId="79A8E64C">
      <w:pPr>
        <w:pStyle w:val="47"/>
        <w:rPr>
          <w:rFonts w:hint="default" w:ascii="Times New Roman" w:hAnsi="Times New Roman" w:cs="Times New Roman"/>
          <w:color w:val="auto"/>
          <w:sz w:val="20"/>
          <w:szCs w:val="20"/>
        </w:rPr>
      </w:pPr>
      <w:r>
        <w:rPr>
          <w:rFonts w:hint="default" w:ascii="Times New Roman" w:hAnsi="Times New Roman" w:cs="Times New Roman"/>
          <w:color w:val="auto"/>
          <w:sz w:val="20"/>
          <w:szCs w:val="20"/>
        </w:rPr>
        <w:drawing>
          <wp:inline distT="0" distB="0" distL="114300" distR="114300">
            <wp:extent cx="5334000" cy="5334000"/>
            <wp:effectExtent l="0" t="0" r="0" b="0"/>
            <wp:docPr id="33" name="Picture" descr="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Reliability Diagram"/>
                    <pic:cNvPicPr>
                      <a:picLocks noChangeAspect="1" noChangeArrowheads="1"/>
                    </pic:cNvPicPr>
                  </pic:nvPicPr>
                  <pic:blipFill>
                    <a:blip r:embed="rId9"/>
                    <a:stretch>
                      <a:fillRect/>
                    </a:stretch>
                  </pic:blipFill>
                  <pic:spPr>
                    <a:xfrm>
                      <a:off x="0" y="0"/>
                      <a:ext cx="5334000" cy="5334000"/>
                    </a:xfrm>
                    <a:prstGeom prst="rect">
                      <a:avLst/>
                    </a:prstGeom>
                    <a:noFill/>
                    <a:ln w="9525">
                      <a:noFill/>
                    </a:ln>
                  </pic:spPr>
                </pic:pic>
              </a:graphicData>
            </a:graphic>
          </wp:inline>
        </w:drawing>
      </w:r>
    </w:p>
    <w:p w14:paraId="29005A37">
      <w:pPr>
        <w:pStyle w:val="45"/>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Reliability Diagram</w:t>
      </w:r>
    </w:p>
    <w:p w14:paraId="389D36D7">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While the calibration score is slightly higher than ideal medical targets (&lt;0.05), this behavior intentionally maintains high uncertainty sensitivity. By explicitly operating with looser internal confidence distributions, the system effectively acts as a conservative safety net that improves the reliability of our automated cloud routing trigger mechanism, safely shunting clinically ambiguous vectors into the generative AI review network.</w:t>
      </w:r>
    </w:p>
    <w:bookmarkEnd w:id="12"/>
    <w:p w14:paraId="2B40B27A">
      <w:pPr>
        <w:pStyle w:val="4"/>
        <w:rPr>
          <w:rFonts w:hint="default" w:ascii="Times New Roman" w:hAnsi="Times New Roman" w:cs="Times New Roman"/>
          <w:b/>
          <w:bCs/>
          <w:color w:val="auto"/>
          <w:sz w:val="20"/>
          <w:szCs w:val="20"/>
        </w:rPr>
      </w:pPr>
      <w:bookmarkStart w:id="13" w:name="X24b3609a5fa9bc34adad05eee78c8a0719f09e8"/>
      <w:r>
        <w:rPr>
          <w:rFonts w:hint="default" w:ascii="Times New Roman" w:hAnsi="Times New Roman" w:cs="Times New Roman"/>
          <w:b/>
          <w:bCs/>
          <w:color w:val="auto"/>
          <w:sz w:val="20"/>
          <w:szCs w:val="20"/>
        </w:rPr>
        <w:t>5.2 Evaluating Generative AI Pipeline Utility</w:t>
      </w:r>
    </w:p>
    <w:p w14:paraId="7BF89136">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TB-Guard-XAI fundamentally distinguishes its pipeline by invoking deep multimodal LLM oversight. While the offline CNN model evaluates raw spatial pixel mapping, the subsequent integrations handle overarching clinical contexts. To quantitatively measure the efficacy of this tertiary review phase, we purposefully segregated an ambiguous test subset (</w:t>
      </w:r>
      <m:oMath>
        <m:r>
          <m:rPr>
            <m:nor/>
          </m:rPr>
          <w:rPr>
            <w:rFonts w:hint="default" w:ascii="Cambria Math" w:hAnsi="Cambria Math" w:cs="Times New Roman"/>
            <w:i/>
            <w:color w:val="auto"/>
            <w:sz w:val="20"/>
            <w:szCs w:val="20"/>
          </w:rPr>
          <m:t>n</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500</m:t>
        </m:r>
      </m:oMath>
      <w:r>
        <w:rPr>
          <w:rFonts w:hint="default" w:ascii="Times New Roman" w:hAnsi="Times New Roman" w:cs="Times New Roman"/>
          <w:color w:val="auto"/>
          <w:sz w:val="20"/>
          <w:szCs w:val="20"/>
        </w:rPr>
        <w:t>) intentionally capturing high predictive uncertainty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&gt;</m:t>
        </m:r>
        <m:r>
          <m:rPr>
            <m:nor/>
            <m:sty m:val="p"/>
          </m:rPr>
          <w:rPr>
            <w:rFonts w:hint="default" w:ascii="Cambria Math" w:hAnsi="Cambria Math" w:cs="Times New Roman"/>
            <w:i w:val="0"/>
            <w:color w:val="auto"/>
            <w:sz w:val="20"/>
            <w:szCs w:val="20"/>
          </w:rPr>
          <m:t>0.15</m:t>
        </m:r>
      </m:oMath>
      <w:r>
        <w:rPr>
          <w:rFonts w:hint="default" w:ascii="Times New Roman" w:hAnsi="Times New Roman" w:cs="Times New Roman"/>
          <w:color w:val="auto"/>
          <w:sz w:val="20"/>
          <w:szCs w:val="20"/>
        </w:rPr>
        <w:t>).</w:t>
      </w:r>
    </w:p>
    <w:p w14:paraId="79418F1D">
      <w:pPr>
        <w:pStyle w:val="3"/>
        <w:rPr>
          <w:rFonts w:hint="default" w:ascii="Times New Roman" w:hAnsi="Times New Roman" w:cs="Times New Roman"/>
          <w:color w:val="auto"/>
          <w:sz w:val="20"/>
          <w:szCs w:val="20"/>
        </w:rPr>
      </w:pPr>
      <w:r>
        <w:rPr>
          <w:rFonts w:hint="default" w:ascii="Times New Roman" w:hAnsi="Times New Roman" w:cs="Times New Roman"/>
          <w:i/>
          <w:iCs/>
          <w:color w:val="auto"/>
          <w:sz w:val="20"/>
          <w:szCs w:val="20"/>
        </w:rPr>
        <w:t>Table 5. Diagnostic Improvement via Generative Integration (</w:t>
      </w:r>
      <m:oMath>
        <m:r>
          <m:rPr>
            <m:nor/>
          </m:rPr>
          <w:rPr>
            <w:rFonts w:hint="default" w:ascii="Cambria Math" w:hAnsi="Cambria Math" w:cs="Times New Roman"/>
            <w:i/>
            <w:color w:val="auto"/>
            <w:sz w:val="20"/>
            <w:szCs w:val="20"/>
          </w:rPr>
          <m:t>n</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500</m:t>
        </m:r>
      </m:oMath>
      <w:r>
        <w:rPr>
          <w:rFonts w:hint="default" w:ascii="Times New Roman" w:hAnsi="Times New Roman" w:cs="Times New Roman"/>
          <w:i/>
          <w:iCs/>
          <w:color w:val="auto"/>
          <w:sz w:val="20"/>
          <w:szCs w:val="20"/>
        </w:rPr>
        <w:t xml:space="preserve"> high-uncertainty subset).</w:t>
      </w:r>
    </w:p>
    <w:tbl>
      <w:tblPr>
        <w:tblStyle w:val="41"/>
        <w:tblW w:w="0" w:type="auto"/>
        <w:tblInd w:w="0" w:type="dxa"/>
        <w:tblLayout w:type="autofit"/>
        <w:tblCellMar>
          <w:top w:w="0" w:type="dxa"/>
          <w:left w:w="108" w:type="dxa"/>
          <w:bottom w:w="0" w:type="dxa"/>
          <w:right w:w="108" w:type="dxa"/>
        </w:tblCellMar>
      </w:tblPr>
      <w:tblGrid>
        <w:gridCol w:w="4113"/>
        <w:gridCol w:w="1899"/>
        <w:gridCol w:w="1411"/>
      </w:tblGrid>
      <w:tr w14:paraId="31EDE891">
        <w:tblPrEx>
          <w:tblCellMar>
            <w:top w:w="0" w:type="dxa"/>
            <w:left w:w="108" w:type="dxa"/>
            <w:bottom w:w="0" w:type="dxa"/>
            <w:right w:w="108" w:type="dxa"/>
          </w:tblCellMar>
        </w:tblPrEx>
        <w:trPr>
          <w:tblHeader/>
        </w:trPr>
        <w:tc>
          <w:p w14:paraId="5C7B106B">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Diagnostic Pathway</w:t>
            </w:r>
          </w:p>
        </w:tc>
        <w:tc>
          <w:p w14:paraId="2856A8A0">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Resolution Accuracy</w:t>
            </w:r>
          </w:p>
        </w:tc>
        <w:tc>
          <w:p w14:paraId="55A253A7">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False Positives</w:t>
            </w:r>
          </w:p>
        </w:tc>
      </w:tr>
      <w:tr w14:paraId="149D091B">
        <w:tblPrEx>
          <w:tblCellMar>
            <w:top w:w="0" w:type="dxa"/>
            <w:left w:w="108" w:type="dxa"/>
            <w:bottom w:w="0" w:type="dxa"/>
            <w:right w:w="108" w:type="dxa"/>
          </w:tblCellMar>
        </w:tblPrEx>
        <w:tc>
          <w:p w14:paraId="7943F499">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Phase 1: Local CNN Inference Only</w:t>
            </w:r>
          </w:p>
        </w:tc>
        <w:tc>
          <w:p w14:paraId="67D151DD">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81.2%</w:t>
            </w:r>
          </w:p>
        </w:tc>
        <w:tc>
          <w:p w14:paraId="7438C91F">
            <w:pPr>
              <w:pStyle w:val="24"/>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68</w:t>
            </w:r>
          </w:p>
        </w:tc>
      </w:tr>
      <w:tr w14:paraId="16438876">
        <w:tblPrEx>
          <w:tblCellMar>
            <w:top w:w="0" w:type="dxa"/>
            <w:left w:w="108" w:type="dxa"/>
            <w:bottom w:w="0" w:type="dxa"/>
            <w:right w:w="108" w:type="dxa"/>
          </w:tblCellMar>
        </w:tblPrEx>
        <w:tc>
          <w:p w14:paraId="78B80A91">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Phase 2: Full System (CNN + Gemini 2.5 Pro)</w:t>
            </w:r>
          </w:p>
        </w:tc>
        <w:tc>
          <w:p w14:paraId="3808B24B">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89.6%</w:t>
            </w:r>
          </w:p>
        </w:tc>
        <w:tc>
          <w:p w14:paraId="6CB413BB">
            <w:pPr>
              <w:pStyle w:val="24"/>
              <w:jc w:val="left"/>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31</w:t>
            </w:r>
          </w:p>
        </w:tc>
      </w:tr>
    </w:tbl>
    <w:p w14:paraId="7AE0AC56">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As demonstrated, implementing the Gemini cross-check to mathematically contextualize Grad-CAM++ opacities resulted in improved diagnostic accuracy and significantly reduced false positive rates. In empirical system testing, generating a dynamically formatted PDF integrating CNN mapping, demographic modifications via Mistral RAG, and image reasoning establishes a rigorous clinical record suitable for mass deployment.</w:t>
      </w:r>
    </w:p>
    <w:bookmarkEnd w:id="13"/>
    <w:p w14:paraId="6CC16D49">
      <w:pPr>
        <w:pStyle w:val="4"/>
        <w:rPr>
          <w:rFonts w:hint="default" w:ascii="Times New Roman" w:hAnsi="Times New Roman" w:cs="Times New Roman"/>
          <w:b/>
          <w:bCs/>
          <w:color w:val="auto"/>
          <w:sz w:val="20"/>
          <w:szCs w:val="20"/>
        </w:rPr>
      </w:pPr>
      <w:bookmarkStart w:id="14" w:name="X5bd09b5bd0d49b0f380a0953ea3cb8633a1c49e"/>
      <w:r>
        <w:rPr>
          <w:rFonts w:hint="default" w:ascii="Times New Roman" w:hAnsi="Times New Roman" w:cs="Times New Roman"/>
          <w:b/>
          <w:bCs/>
          <w:color w:val="auto"/>
          <w:sz w:val="20"/>
          <w:szCs w:val="20"/>
        </w:rPr>
        <w:t>5.3 External Validation and Domain Shift Resilience</w:t>
      </w:r>
    </w:p>
    <w:p w14:paraId="494A9429">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While models excel on internal test splits mimicking training topologies (like the US/Chinese datasets), testing on highly divergent geographical domains evaluates true clinical deployability. To correctly simulate real-world conditions, we extracted an external validation set comprising the </w:t>
      </w:r>
      <w:r>
        <w:rPr>
          <w:rFonts w:hint="default" w:ascii="Times New Roman" w:hAnsi="Times New Roman" w:cs="Times New Roman"/>
          <w:b/>
          <w:bCs/>
          <w:color w:val="auto"/>
          <w:sz w:val="20"/>
          <w:szCs w:val="20"/>
        </w:rPr>
        <w:t>DA/DB dataset</w:t>
      </w:r>
      <w:r>
        <w:rPr>
          <w:rFonts w:hint="default" w:ascii="Times New Roman" w:hAnsi="Times New Roman" w:cs="Times New Roman"/>
          <w:color w:val="auto"/>
          <w:sz w:val="20"/>
          <w:szCs w:val="20"/>
        </w:rPr>
        <w:t xml:space="preserve"> from Pakistan representing a South Asian demographic completely isolated from training.</w:t>
      </w:r>
    </w:p>
    <w:p w14:paraId="7707488D">
      <w:pPr>
        <w:pStyle w:val="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We analyzed 278 real patient images (153 Normal, 125 TB). Confronting raw geographic domain shift degraded raw overall accuracy to </w:t>
      </w:r>
      <w:r>
        <w:rPr>
          <w:rFonts w:hint="default" w:ascii="Times New Roman" w:hAnsi="Times New Roman" w:cs="Times New Roman"/>
          <w:b/>
          <w:bCs/>
          <w:color w:val="auto"/>
          <w:sz w:val="20"/>
          <w:szCs w:val="20"/>
        </w:rPr>
        <w:t>60.8%</w:t>
      </w:r>
      <w:r>
        <w:rPr>
          <w:rFonts w:hint="default" w:ascii="Times New Roman" w:hAnsi="Times New Roman" w:cs="Times New Roman"/>
          <w:color w:val="auto"/>
          <w:sz w:val="20"/>
          <w:szCs w:val="20"/>
        </w:rPr>
        <w:t xml:space="preserve">, predominantly driven by a major specificity collapse down to </w:t>
      </w:r>
      <w:r>
        <w:rPr>
          <w:rFonts w:hint="default" w:ascii="Times New Roman" w:hAnsi="Times New Roman" w:cs="Times New Roman"/>
          <w:b/>
          <w:bCs/>
          <w:color w:val="auto"/>
          <w:sz w:val="20"/>
          <w:szCs w:val="20"/>
        </w:rPr>
        <w:t>45.8%</w:t>
      </w:r>
      <w:r>
        <w:rPr>
          <w:rFonts w:hint="default" w:ascii="Times New Roman" w:hAnsi="Times New Roman" w:cs="Times New Roman"/>
          <w:color w:val="auto"/>
          <w:sz w:val="20"/>
          <w:szCs w:val="20"/>
        </w:rPr>
        <w:t>.</w:t>
      </w:r>
    </w:p>
    <w:p w14:paraId="3688C282">
      <w:pPr>
        <w:pStyle w:val="3"/>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Crucially, however, absolute sensitivity (TB Detection) maintained high viability at 79.2%.</w:t>
      </w:r>
      <w:r>
        <w:rPr>
          <w:rFonts w:hint="default" w:ascii="Times New Roman" w:hAnsi="Times New Roman" w:cs="Times New Roman"/>
          <w:color w:val="auto"/>
          <w:sz w:val="20"/>
          <w:szCs w:val="20"/>
        </w:rPr>
        <w:t xml:space="preserve"> The true biological hazard—failing to identify highly infectious TB-positive vectors (False Negatives)—is successfully mitigated. High sensitivity (79.2%) ensures minimal missed TB cases, validating the system as highly appropriate for first-line triage layer deployment despite the reduced domain specificity. Contemporaneously, the heightened Monte Carlo variance naturally flagged the domain outliers, properly enforcing human verification protocols.</w:t>
      </w:r>
    </w:p>
    <w:bookmarkEnd w:id="11"/>
    <w:bookmarkEnd w:id="14"/>
    <w:p w14:paraId="509306A2">
      <w:pPr>
        <w:pStyle w:val="2"/>
        <w:rPr>
          <w:rFonts w:hint="default" w:ascii="Times New Roman" w:hAnsi="Times New Roman" w:cs="Times New Roman"/>
          <w:b/>
          <w:bCs/>
          <w:color w:val="auto"/>
          <w:sz w:val="24"/>
          <w:szCs w:val="24"/>
        </w:rPr>
      </w:pPr>
      <w:bookmarkStart w:id="15" w:name="discussion-limitations"/>
      <w:r>
        <w:rPr>
          <w:rFonts w:hint="default" w:ascii="Times New Roman" w:hAnsi="Times New Roman" w:cs="Times New Roman"/>
          <w:b/>
          <w:bCs/>
          <w:color w:val="auto"/>
          <w:sz w:val="24"/>
          <w:szCs w:val="24"/>
        </w:rPr>
        <w:t>6 Discussion &amp; Limitations</w:t>
      </w:r>
    </w:p>
    <w:p w14:paraId="426FF0DC">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TB-Guard-XAI addresses deployment challenges through intelligent resource allocation. By strategically escalating only mathematically uncertain variables (</w:t>
      </w:r>
      <m:oMath>
        <m:r>
          <m:rPr>
            <m:nor/>
          </m:rPr>
          <w:rPr>
            <w:rFonts w:hint="default" w:ascii="Cambria Math" w:hAnsi="Cambria Math" w:cs="Times New Roman"/>
            <w:i/>
            <w:color w:val="auto"/>
            <w:sz w:val="20"/>
            <w:szCs w:val="20"/>
          </w:rPr>
          <m:t>σ</m:t>
        </m:r>
        <m:r>
          <m:rPr>
            <m:nor/>
            <m:sty m:val="p"/>
          </m:rPr>
          <w:rPr>
            <w:rFonts w:hint="default" w:ascii="Cambria Math" w:hAnsi="Cambria Math" w:cs="Times New Roman"/>
            <w:b w:val="0"/>
            <w:i w:val="0"/>
            <w:color w:val="auto"/>
            <w:sz w:val="20"/>
            <w:szCs w:val="20"/>
          </w:rPr>
          <m:t>≥</m:t>
        </m:r>
        <m:r>
          <m:rPr>
            <m:nor/>
            <m:sty m:val="p"/>
          </m:rPr>
          <w:rPr>
            <w:rFonts w:hint="default" w:ascii="Cambria Math" w:hAnsi="Cambria Math" w:cs="Times New Roman"/>
            <w:i w:val="0"/>
            <w:color w:val="auto"/>
            <w:sz w:val="20"/>
            <w:szCs w:val="20"/>
          </w:rPr>
          <m:t>0.15</m:t>
        </m:r>
      </m:oMath>
      <w:r>
        <w:rPr>
          <w:rFonts w:hint="default" w:ascii="Times New Roman" w:hAnsi="Times New Roman" w:cs="Times New Roman"/>
          <w:color w:val="auto"/>
          <w:sz w:val="20"/>
          <w:szCs w:val="20"/>
        </w:rPr>
        <w:t>) to Cloud pipelines, an unconnected rural clinic can independently resolve routine caseloads effectively for $0 marginal cost, reserving complex LLM analytical expenditures (averaging $0.05 per call) specifically for edge abnormalities.</w:t>
      </w:r>
    </w:p>
    <w:p w14:paraId="0F1663E0">
      <w:pPr>
        <w:pStyle w:val="5"/>
        <w:rPr>
          <w:rFonts w:hint="default" w:ascii="Times New Roman" w:hAnsi="Times New Roman" w:cs="Times New Roman"/>
          <w:b/>
          <w:bCs/>
          <w:color w:val="auto"/>
          <w:sz w:val="20"/>
          <w:szCs w:val="20"/>
        </w:rPr>
      </w:pPr>
      <w:bookmarkStart w:id="16" w:name="limitations"/>
      <w:r>
        <w:rPr>
          <w:rFonts w:hint="default" w:ascii="Times New Roman" w:hAnsi="Times New Roman" w:cs="Times New Roman"/>
          <w:b/>
          <w:bCs/>
          <w:color w:val="auto"/>
          <w:sz w:val="20"/>
          <w:szCs w:val="20"/>
        </w:rPr>
        <w:t>6.1 Limitations</w:t>
      </w:r>
    </w:p>
    <w:p w14:paraId="0B67024D">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This operational implementation currently presents several limitations: 1. </w:t>
      </w:r>
      <w:r>
        <w:rPr>
          <w:rFonts w:hint="default" w:ascii="Times New Roman" w:hAnsi="Times New Roman" w:cs="Times New Roman"/>
          <w:b/>
          <w:bCs/>
          <w:color w:val="auto"/>
          <w:sz w:val="20"/>
          <w:szCs w:val="20"/>
        </w:rPr>
        <w:t>Lack of Clinical Validation:</w:t>
      </w:r>
      <w:r>
        <w:rPr>
          <w:rFonts w:hint="default" w:ascii="Times New Roman" w:hAnsi="Times New Roman" w:cs="Times New Roman"/>
          <w:color w:val="auto"/>
          <w:sz w:val="20"/>
          <w:szCs w:val="20"/>
        </w:rPr>
        <w:t xml:space="preserve"> The evaluations are rigorously retrospective. Continuous, prospective clinical trials verifying tangible radiologist agreement remain necessary. The platform is constructed entirely as a decision-support prototype exploring AI orchestration, exclusively deferring ultimate authority to medical personnel. 2. </w:t>
      </w:r>
      <w:r>
        <w:rPr>
          <w:rFonts w:hint="default" w:ascii="Times New Roman" w:hAnsi="Times New Roman" w:cs="Times New Roman"/>
          <w:b/>
          <w:bCs/>
          <w:color w:val="auto"/>
          <w:sz w:val="20"/>
          <w:szCs w:val="20"/>
        </w:rPr>
        <w:t>Geographic Domain Shift Constraints:</w:t>
      </w:r>
      <w:r>
        <w:rPr>
          <w:rFonts w:hint="default" w:ascii="Times New Roman" w:hAnsi="Times New Roman" w:cs="Times New Roman"/>
          <w:color w:val="auto"/>
          <w:sz w:val="20"/>
          <w:szCs w:val="20"/>
        </w:rPr>
        <w:t xml:space="preserve"> As validated by our exterior DA/DB assessment, equipment biases ingrained within source imaging datasets heavily limit international generalization. Subsequent systemic updates must prioritize larger external validation blocks including the VinDr-CXR, CheXpert, or PadChest cohorts to ensure diverse domain resilience. 3. </w:t>
      </w:r>
      <w:r>
        <w:rPr>
          <w:rFonts w:hint="default" w:ascii="Times New Roman" w:hAnsi="Times New Roman" w:cs="Times New Roman"/>
          <w:b/>
          <w:bCs/>
          <w:color w:val="auto"/>
          <w:sz w:val="20"/>
          <w:szCs w:val="20"/>
        </w:rPr>
        <w:t>Generative AI Extrapolation Risk:</w:t>
      </w:r>
      <w:r>
        <w:rPr>
          <w:rFonts w:hint="default" w:ascii="Times New Roman" w:hAnsi="Times New Roman" w:cs="Times New Roman"/>
          <w:color w:val="auto"/>
          <w:sz w:val="20"/>
          <w:szCs w:val="20"/>
        </w:rPr>
        <w:t xml:space="preserve"> By design, the Mistral RAG architecture is stringently directed toward retrieved WHO guidelines. Yet, generative transformer topologies inherently pose abstract hallucination risks, demanding routine oversight by active healthcare personnel.</w:t>
      </w:r>
    </w:p>
    <w:bookmarkEnd w:id="15"/>
    <w:bookmarkEnd w:id="16"/>
    <w:p w14:paraId="1F1E3B2B">
      <w:pPr>
        <w:pStyle w:val="2"/>
        <w:rPr>
          <w:rFonts w:hint="default" w:ascii="Times New Roman" w:hAnsi="Times New Roman" w:cs="Times New Roman"/>
          <w:b/>
          <w:bCs/>
          <w:color w:val="auto"/>
          <w:sz w:val="24"/>
          <w:szCs w:val="24"/>
        </w:rPr>
      </w:pPr>
      <w:bookmarkStart w:id="17" w:name="conclusion"/>
      <w:r>
        <w:rPr>
          <w:rFonts w:hint="default" w:ascii="Times New Roman" w:hAnsi="Times New Roman" w:cs="Times New Roman"/>
          <w:b/>
          <w:bCs/>
          <w:color w:val="auto"/>
          <w:sz w:val="24"/>
          <w:szCs w:val="24"/>
        </w:rPr>
        <w:t>7 Conclusion</w:t>
      </w:r>
    </w:p>
    <w:p w14:paraId="1BE69210">
      <w:pPr>
        <w:pStyle w:val="23"/>
        <w:rPr>
          <w:rFonts w:hint="default" w:ascii="Times New Roman" w:hAnsi="Times New Roman" w:cs="Times New Roman"/>
          <w:color w:val="auto"/>
          <w:sz w:val="20"/>
          <w:szCs w:val="20"/>
        </w:rPr>
      </w:pPr>
      <w:r>
        <w:rPr>
          <w:rFonts w:hint="default" w:ascii="Times New Roman" w:hAnsi="Times New Roman" w:cs="Times New Roman"/>
          <w:color w:val="auto"/>
          <w:sz w:val="20"/>
          <w:szCs w:val="20"/>
        </w:rPr>
        <w:t>We propose an architecture and deployment framework for TB-Guard-XAI—an offline-first clinical decision support system designed specifically against the constraints dictating modern global Tuberculosis screening operations. By intertwining a deterministic CNN ensemble secured by Bayesian uncertainty mapping, and deploying on-demand RAG-augmented Generative models to evaluate clinical ambiguities, we formulated a mathematically defensible, multi-layered, and critically cost-effective operational deployment.</w:t>
      </w:r>
    </w:p>
    <w:bookmarkEnd w:id="17"/>
    <w:p w14:paraId="6C5EE792">
      <w:pPr>
        <w:pStyle w:val="2"/>
        <w:rPr>
          <w:rFonts w:hint="default" w:ascii="Times New Roman" w:hAnsi="Times New Roman" w:cs="Times New Roman"/>
          <w:color w:val="auto"/>
          <w:sz w:val="20"/>
          <w:szCs w:val="20"/>
        </w:rPr>
      </w:pPr>
      <w:bookmarkStart w:id="18" w:name="references"/>
      <w:r>
        <w:rPr>
          <w:rFonts w:hint="default" w:ascii="Times New Roman" w:hAnsi="Times New Roman" w:cs="Times New Roman"/>
          <w:b/>
          <w:bCs/>
          <w:color w:val="auto"/>
          <w:sz w:val="24"/>
          <w:szCs w:val="24"/>
        </w:rPr>
        <w:t>References</w:t>
      </w:r>
    </w:p>
    <w:p w14:paraId="50AA2E8F">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World Health Organization. (2025). </w:t>
      </w:r>
      <w:r>
        <w:rPr>
          <w:rFonts w:hint="default" w:ascii="Times New Roman" w:hAnsi="Times New Roman" w:cs="Times New Roman"/>
          <w:i/>
          <w:iCs/>
          <w:color w:val="auto"/>
          <w:sz w:val="20"/>
          <w:szCs w:val="20"/>
        </w:rPr>
        <w:t>Global Tuberculosis Report 2024</w:t>
      </w:r>
      <w:r>
        <w:rPr>
          <w:rFonts w:hint="default" w:ascii="Times New Roman" w:hAnsi="Times New Roman" w:cs="Times New Roman"/>
          <w:color w:val="auto"/>
          <w:sz w:val="20"/>
          <w:szCs w:val="20"/>
        </w:rPr>
        <w:t>. Geneva: WHO.</w:t>
      </w:r>
    </w:p>
    <w:p w14:paraId="500CE1F2">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Reid, M. J., et al. (2019). Building a tuberculosis-free world: The Lancet Commission on tuberculosis. </w:t>
      </w:r>
      <w:r>
        <w:rPr>
          <w:rFonts w:hint="default" w:ascii="Times New Roman" w:hAnsi="Times New Roman" w:cs="Times New Roman"/>
          <w:i/>
          <w:iCs/>
          <w:color w:val="auto"/>
          <w:sz w:val="20"/>
          <w:szCs w:val="20"/>
        </w:rPr>
        <w:t>The Lancet</w:t>
      </w:r>
      <w:r>
        <w:rPr>
          <w:rFonts w:hint="default" w:ascii="Times New Roman" w:hAnsi="Times New Roman" w:cs="Times New Roman"/>
          <w:color w:val="auto"/>
          <w:sz w:val="20"/>
          <w:szCs w:val="20"/>
        </w:rPr>
        <w:t>, 393(10178), 1331-1384.</w:t>
      </w:r>
    </w:p>
    <w:p w14:paraId="2FCA90E7">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Lakhani, P., &amp; Sundaram, B. (2017). Deep learning at chest radiography: Automated classification of pulmonary tuberculosis by using convolutional neural networks. </w:t>
      </w:r>
      <w:r>
        <w:rPr>
          <w:rFonts w:hint="default" w:ascii="Times New Roman" w:hAnsi="Times New Roman" w:cs="Times New Roman"/>
          <w:i/>
          <w:iCs/>
          <w:color w:val="auto"/>
          <w:sz w:val="20"/>
          <w:szCs w:val="20"/>
        </w:rPr>
        <w:t>Radiology</w:t>
      </w:r>
      <w:r>
        <w:rPr>
          <w:rFonts w:hint="default" w:ascii="Times New Roman" w:hAnsi="Times New Roman" w:cs="Times New Roman"/>
          <w:color w:val="auto"/>
          <w:sz w:val="20"/>
          <w:szCs w:val="20"/>
        </w:rPr>
        <w:t>, 284(2), 574-582.</w:t>
      </w:r>
    </w:p>
    <w:p w14:paraId="2111BC3A">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Ghassemi, M., et al. (2021). The false hope of current approaches to explainable artificial intelligence in health care. </w:t>
      </w:r>
      <w:r>
        <w:rPr>
          <w:rFonts w:hint="default" w:ascii="Times New Roman" w:hAnsi="Times New Roman" w:cs="Times New Roman"/>
          <w:i/>
          <w:iCs/>
          <w:color w:val="auto"/>
          <w:sz w:val="20"/>
          <w:szCs w:val="20"/>
        </w:rPr>
        <w:t>The Lancet Digital Health</w:t>
      </w:r>
      <w:r>
        <w:rPr>
          <w:rFonts w:hint="default" w:ascii="Times New Roman" w:hAnsi="Times New Roman" w:cs="Times New Roman"/>
          <w:color w:val="auto"/>
          <w:sz w:val="20"/>
          <w:szCs w:val="20"/>
        </w:rPr>
        <w:t>, 3(11), e745-e750.</w:t>
      </w:r>
    </w:p>
    <w:p w14:paraId="71BDB915">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Begoli, E., et al. (2019). The need for uncertainty quantification in machine-assisted medical decision making. </w:t>
      </w:r>
      <w:r>
        <w:rPr>
          <w:rFonts w:hint="default" w:ascii="Times New Roman" w:hAnsi="Times New Roman" w:cs="Times New Roman"/>
          <w:i/>
          <w:iCs/>
          <w:color w:val="auto"/>
          <w:sz w:val="20"/>
          <w:szCs w:val="20"/>
        </w:rPr>
        <w:t>Nature Machine Intelligence</w:t>
      </w:r>
      <w:r>
        <w:rPr>
          <w:rFonts w:hint="default" w:ascii="Times New Roman" w:hAnsi="Times New Roman" w:cs="Times New Roman"/>
          <w:color w:val="auto"/>
          <w:sz w:val="20"/>
          <w:szCs w:val="20"/>
        </w:rPr>
        <w:t>, 1(1), 20-23.</w:t>
      </w:r>
    </w:p>
    <w:p w14:paraId="080C3AB3">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Wahl, B., et al. (2018). Artificial intelligence (AI) and global health: how can AI contribute to health in resource-poor settings? </w:t>
      </w:r>
      <w:r>
        <w:rPr>
          <w:rFonts w:hint="default" w:ascii="Times New Roman" w:hAnsi="Times New Roman" w:cs="Times New Roman"/>
          <w:i/>
          <w:iCs/>
          <w:color w:val="auto"/>
          <w:sz w:val="20"/>
          <w:szCs w:val="20"/>
        </w:rPr>
        <w:t>BMJ Global Health</w:t>
      </w:r>
      <w:r>
        <w:rPr>
          <w:rFonts w:hint="default" w:ascii="Times New Roman" w:hAnsi="Times New Roman" w:cs="Times New Roman"/>
          <w:color w:val="auto"/>
          <w:sz w:val="20"/>
          <w:szCs w:val="20"/>
        </w:rPr>
        <w:t>, 3(4), e000798.</w:t>
      </w:r>
    </w:p>
    <w:p w14:paraId="6BF5DF6F">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Howard, A. G., et al. (2017). MobileNets: Efficient convolutional neural networks for mobile vision applications. </w:t>
      </w:r>
      <w:r>
        <w:rPr>
          <w:rFonts w:hint="default" w:ascii="Times New Roman" w:hAnsi="Times New Roman" w:cs="Times New Roman"/>
          <w:i/>
          <w:iCs/>
          <w:color w:val="auto"/>
          <w:sz w:val="20"/>
          <w:szCs w:val="20"/>
        </w:rPr>
        <w:t>arXiv preprint arXiv:1704.04861</w:t>
      </w:r>
      <w:r>
        <w:rPr>
          <w:rFonts w:hint="default" w:ascii="Times New Roman" w:hAnsi="Times New Roman" w:cs="Times New Roman"/>
          <w:color w:val="auto"/>
          <w:sz w:val="20"/>
          <w:szCs w:val="20"/>
        </w:rPr>
        <w:t>.</w:t>
      </w:r>
    </w:p>
    <w:p w14:paraId="17A6C893">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Lewis, P., et al. (2020). Retrieval-augmented generation for knowledge-intensive NLP tasks. </w:t>
      </w:r>
      <w:r>
        <w:rPr>
          <w:rFonts w:hint="default" w:ascii="Times New Roman" w:hAnsi="Times New Roman" w:cs="Times New Roman"/>
          <w:i/>
          <w:iCs/>
          <w:color w:val="auto"/>
          <w:sz w:val="20"/>
          <w:szCs w:val="20"/>
        </w:rPr>
        <w:t>Advances in Neural Information Processing Systems</w:t>
      </w:r>
      <w:r>
        <w:rPr>
          <w:rFonts w:hint="default" w:ascii="Times New Roman" w:hAnsi="Times New Roman" w:cs="Times New Roman"/>
          <w:color w:val="auto"/>
          <w:sz w:val="20"/>
          <w:szCs w:val="20"/>
        </w:rPr>
        <w:t>, 33, 9459-9474.</w:t>
      </w:r>
    </w:p>
    <w:p w14:paraId="50B2EE3B">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Rajpurkar, P., et al. (2022). AI in health and medicine. </w:t>
      </w:r>
      <w:r>
        <w:rPr>
          <w:rFonts w:hint="default" w:ascii="Times New Roman" w:hAnsi="Times New Roman" w:cs="Times New Roman"/>
          <w:i/>
          <w:iCs/>
          <w:color w:val="auto"/>
          <w:sz w:val="20"/>
          <w:szCs w:val="20"/>
        </w:rPr>
        <w:t>Nature Medicine</w:t>
      </w:r>
      <w:r>
        <w:rPr>
          <w:rFonts w:hint="default" w:ascii="Times New Roman" w:hAnsi="Times New Roman" w:cs="Times New Roman"/>
          <w:color w:val="auto"/>
          <w:sz w:val="20"/>
          <w:szCs w:val="20"/>
        </w:rPr>
        <w:t>, 28(1), 31-38.</w:t>
      </w:r>
    </w:p>
    <w:p w14:paraId="5746661E">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Jaeger, S., et al. (2014). Automatic tuberculosis screening using chest radiographs. </w:t>
      </w:r>
      <w:r>
        <w:rPr>
          <w:rFonts w:hint="default" w:ascii="Times New Roman" w:hAnsi="Times New Roman" w:cs="Times New Roman"/>
          <w:i/>
          <w:iCs/>
          <w:color w:val="auto"/>
          <w:sz w:val="20"/>
          <w:szCs w:val="20"/>
        </w:rPr>
        <w:t>IEEE Transactions on Medical Imaging</w:t>
      </w:r>
      <w:r>
        <w:rPr>
          <w:rFonts w:hint="default" w:ascii="Times New Roman" w:hAnsi="Times New Roman" w:cs="Times New Roman"/>
          <w:color w:val="auto"/>
          <w:sz w:val="20"/>
          <w:szCs w:val="20"/>
        </w:rPr>
        <w:t>, 33(2), 233-245.</w:t>
      </w:r>
    </w:p>
    <w:p w14:paraId="1EB71E92">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LeCun, Y., Bengio, Y., &amp; Hinton, G. (2015). Deep learning. </w:t>
      </w:r>
      <w:r>
        <w:rPr>
          <w:rFonts w:hint="default" w:ascii="Times New Roman" w:hAnsi="Times New Roman" w:cs="Times New Roman"/>
          <w:i/>
          <w:iCs/>
          <w:color w:val="auto"/>
          <w:sz w:val="20"/>
          <w:szCs w:val="20"/>
        </w:rPr>
        <w:t>Nature</w:t>
      </w:r>
      <w:r>
        <w:rPr>
          <w:rFonts w:hint="default" w:ascii="Times New Roman" w:hAnsi="Times New Roman" w:cs="Times New Roman"/>
          <w:color w:val="auto"/>
          <w:sz w:val="20"/>
          <w:szCs w:val="20"/>
        </w:rPr>
        <w:t>, 521(7553), 436-444.</w:t>
      </w:r>
    </w:p>
    <w:p w14:paraId="31FE1727">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He, K., et al. (2016). Deep residual learning for image recognition. In </w:t>
      </w:r>
      <w:r>
        <w:rPr>
          <w:rFonts w:hint="default" w:ascii="Times New Roman" w:hAnsi="Times New Roman" w:cs="Times New Roman"/>
          <w:i/>
          <w:iCs/>
          <w:color w:val="auto"/>
          <w:sz w:val="20"/>
          <w:szCs w:val="20"/>
        </w:rPr>
        <w:t>Proceedings of the IEEE conference on computer vision and pattern recognition</w:t>
      </w:r>
      <w:r>
        <w:rPr>
          <w:rFonts w:hint="default" w:ascii="Times New Roman" w:hAnsi="Times New Roman" w:cs="Times New Roman"/>
          <w:color w:val="auto"/>
          <w:sz w:val="20"/>
          <w:szCs w:val="20"/>
        </w:rPr>
        <w:t xml:space="preserve"> (pp. 770-778).</w:t>
      </w:r>
    </w:p>
    <w:p w14:paraId="027E3C0D">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Huang, G., et al. (2017). Densely connected convolutional networks. In </w:t>
      </w:r>
      <w:r>
        <w:rPr>
          <w:rFonts w:hint="default" w:ascii="Times New Roman" w:hAnsi="Times New Roman" w:cs="Times New Roman"/>
          <w:i/>
          <w:iCs/>
          <w:color w:val="auto"/>
          <w:sz w:val="20"/>
          <w:szCs w:val="20"/>
        </w:rPr>
        <w:t>Proceedings of the IEEE conference on computer vision and pattern recognition</w:t>
      </w:r>
      <w:r>
        <w:rPr>
          <w:rFonts w:hint="default" w:ascii="Times New Roman" w:hAnsi="Times New Roman" w:cs="Times New Roman"/>
          <w:color w:val="auto"/>
          <w:sz w:val="20"/>
          <w:szCs w:val="20"/>
        </w:rPr>
        <w:t xml:space="preserve"> (pp. 4700-4708).</w:t>
      </w:r>
    </w:p>
    <w:p w14:paraId="6027EFB1">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Murphy, K., et al. (2020). Computer-aided reading of tuberculosis chest radiographs. </w:t>
      </w:r>
      <w:r>
        <w:rPr>
          <w:rFonts w:hint="default" w:ascii="Times New Roman" w:hAnsi="Times New Roman" w:cs="Times New Roman"/>
          <w:i/>
          <w:iCs/>
          <w:color w:val="auto"/>
          <w:sz w:val="20"/>
          <w:szCs w:val="20"/>
        </w:rPr>
        <w:t>The Lancet Digital Health</w:t>
      </w:r>
      <w:r>
        <w:rPr>
          <w:rFonts w:hint="default" w:ascii="Times New Roman" w:hAnsi="Times New Roman" w:cs="Times New Roman"/>
          <w:color w:val="auto"/>
          <w:sz w:val="20"/>
          <w:szCs w:val="20"/>
        </w:rPr>
        <w:t>, 2(3), e151-e152.</w:t>
      </w:r>
    </w:p>
    <w:p w14:paraId="0837F638">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Nash, M., et al. (2020). Development and validation of a deep learning system for tuberculosis detection in chest radiographs. </w:t>
      </w:r>
      <w:r>
        <w:rPr>
          <w:rFonts w:hint="default" w:ascii="Times New Roman" w:hAnsi="Times New Roman" w:cs="Times New Roman"/>
          <w:i/>
          <w:iCs/>
          <w:color w:val="auto"/>
          <w:sz w:val="20"/>
          <w:szCs w:val="20"/>
        </w:rPr>
        <w:t>JAMA Network Open</w:t>
      </w:r>
      <w:r>
        <w:rPr>
          <w:rFonts w:hint="default" w:ascii="Times New Roman" w:hAnsi="Times New Roman" w:cs="Times New Roman"/>
          <w:color w:val="auto"/>
          <w:sz w:val="20"/>
          <w:szCs w:val="20"/>
        </w:rPr>
        <w:t>, 3(11), e2025712.</w:t>
      </w:r>
    </w:p>
    <w:p w14:paraId="4E051506">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Kompa, B., et al. (2021). Second opinion needed: communicating uncertainty in medical machine learning. </w:t>
      </w:r>
      <w:r>
        <w:rPr>
          <w:rFonts w:hint="default" w:ascii="Times New Roman" w:hAnsi="Times New Roman" w:cs="Times New Roman"/>
          <w:i/>
          <w:iCs/>
          <w:color w:val="auto"/>
          <w:sz w:val="20"/>
          <w:szCs w:val="20"/>
        </w:rPr>
        <w:t>NPJ Digital Medicine</w:t>
      </w:r>
      <w:r>
        <w:rPr>
          <w:rFonts w:hint="default" w:ascii="Times New Roman" w:hAnsi="Times New Roman" w:cs="Times New Roman"/>
          <w:color w:val="auto"/>
          <w:sz w:val="20"/>
          <w:szCs w:val="20"/>
        </w:rPr>
        <w:t>, 4(1), 4.</w:t>
      </w:r>
    </w:p>
    <w:p w14:paraId="52D92251">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Zech, J. R., et al. (2018). Variable generalization performance of a deep learning model to detect pneumonia in chest radiographs: A cross-sectional study. </w:t>
      </w:r>
      <w:r>
        <w:rPr>
          <w:rFonts w:hint="default" w:ascii="Times New Roman" w:hAnsi="Times New Roman" w:cs="Times New Roman"/>
          <w:i/>
          <w:iCs/>
          <w:color w:val="auto"/>
          <w:sz w:val="20"/>
          <w:szCs w:val="20"/>
        </w:rPr>
        <w:t>PLOS Medicine</w:t>
      </w:r>
      <w:r>
        <w:rPr>
          <w:rFonts w:hint="default" w:ascii="Times New Roman" w:hAnsi="Times New Roman" w:cs="Times New Roman"/>
          <w:color w:val="auto"/>
          <w:sz w:val="20"/>
          <w:szCs w:val="20"/>
        </w:rPr>
        <w:t>, 15(11), e1002683.</w:t>
      </w:r>
    </w:p>
    <w:p w14:paraId="2591D56B">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Gal, Y., &amp; Ghahramani, Z. (2016). Dropout as a bayesian approximation: Representing model uncertainty in deep learning. In </w:t>
      </w:r>
      <w:r>
        <w:rPr>
          <w:rFonts w:hint="default" w:ascii="Times New Roman" w:hAnsi="Times New Roman" w:cs="Times New Roman"/>
          <w:i/>
          <w:iCs/>
          <w:color w:val="auto"/>
          <w:sz w:val="20"/>
          <w:szCs w:val="20"/>
        </w:rPr>
        <w:t>international conference on machine learning</w:t>
      </w:r>
      <w:r>
        <w:rPr>
          <w:rFonts w:hint="default" w:ascii="Times New Roman" w:hAnsi="Times New Roman" w:cs="Times New Roman"/>
          <w:color w:val="auto"/>
          <w:sz w:val="20"/>
          <w:szCs w:val="20"/>
        </w:rPr>
        <w:t xml:space="preserve"> (pp. 1050-1059). PMLR.</w:t>
      </w:r>
    </w:p>
    <w:p w14:paraId="3C5B7F17">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Leibig, C., et al. (2017). Leveraging uncertainty information from deep neural networks for disease detection. </w:t>
      </w:r>
      <w:r>
        <w:rPr>
          <w:rFonts w:hint="default" w:ascii="Times New Roman" w:hAnsi="Times New Roman" w:cs="Times New Roman"/>
          <w:i/>
          <w:iCs/>
          <w:color w:val="auto"/>
          <w:sz w:val="20"/>
          <w:szCs w:val="20"/>
        </w:rPr>
        <w:t>Scientific Reports</w:t>
      </w:r>
      <w:r>
        <w:rPr>
          <w:rFonts w:hint="default" w:ascii="Times New Roman" w:hAnsi="Times New Roman" w:cs="Times New Roman"/>
          <w:color w:val="auto"/>
          <w:sz w:val="20"/>
          <w:szCs w:val="20"/>
        </w:rPr>
        <w:t>, 7(1), 17816.</w:t>
      </w:r>
    </w:p>
    <w:p w14:paraId="0332C976">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Zhou, B., et al. (2016). Learning deep features for discriminative localization. In </w:t>
      </w:r>
      <w:r>
        <w:rPr>
          <w:rFonts w:hint="default" w:ascii="Times New Roman" w:hAnsi="Times New Roman" w:cs="Times New Roman"/>
          <w:i/>
          <w:iCs/>
          <w:color w:val="auto"/>
          <w:sz w:val="20"/>
          <w:szCs w:val="20"/>
        </w:rPr>
        <w:t>Proceedings of the IEEE conference on computer vision and pattern recognition</w:t>
      </w:r>
      <w:r>
        <w:rPr>
          <w:rFonts w:hint="default" w:ascii="Times New Roman" w:hAnsi="Times New Roman" w:cs="Times New Roman"/>
          <w:color w:val="auto"/>
          <w:sz w:val="20"/>
          <w:szCs w:val="20"/>
        </w:rPr>
        <w:t xml:space="preserve"> (pp. 2921-2929).</w:t>
      </w:r>
    </w:p>
    <w:p w14:paraId="61A084C2">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Chattopadhay, A., et al. (2018). Grad-CAM++: Generalized gradient-based visual explanations for deep convolutional networks. In </w:t>
      </w:r>
      <w:r>
        <w:rPr>
          <w:rFonts w:hint="default" w:ascii="Times New Roman" w:hAnsi="Times New Roman" w:cs="Times New Roman"/>
          <w:i/>
          <w:iCs/>
          <w:color w:val="auto"/>
          <w:sz w:val="20"/>
          <w:szCs w:val="20"/>
        </w:rPr>
        <w:t>2018 IEEE winter conference on applications of computer vision (WACV)</w:t>
      </w:r>
      <w:r>
        <w:rPr>
          <w:rFonts w:hint="default" w:ascii="Times New Roman" w:hAnsi="Times New Roman" w:cs="Times New Roman"/>
          <w:color w:val="auto"/>
          <w:sz w:val="20"/>
          <w:szCs w:val="20"/>
        </w:rPr>
        <w:t xml:space="preserve"> (pp. 839-847). IEEE.</w:t>
      </w:r>
    </w:p>
    <w:p w14:paraId="19484AAC">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Dietterich, T. G. (2000). Ensemble methods in machine learning. In </w:t>
      </w:r>
      <w:r>
        <w:rPr>
          <w:rFonts w:hint="default" w:ascii="Times New Roman" w:hAnsi="Times New Roman" w:cs="Times New Roman"/>
          <w:i/>
          <w:iCs/>
          <w:color w:val="auto"/>
          <w:sz w:val="20"/>
          <w:szCs w:val="20"/>
        </w:rPr>
        <w:t>Multiple Classifier Systems: First International Workshop, MCS 2000</w:t>
      </w:r>
      <w:r>
        <w:rPr>
          <w:rFonts w:hint="default" w:ascii="Times New Roman" w:hAnsi="Times New Roman" w:cs="Times New Roman"/>
          <w:color w:val="auto"/>
          <w:sz w:val="20"/>
          <w:szCs w:val="20"/>
        </w:rPr>
        <w:t xml:space="preserve"> (pp. 1-15). Springer Berlin Heidelberg.</w:t>
      </w:r>
    </w:p>
    <w:p w14:paraId="405DAB4E">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Marais, B. J., et al. (2006). Radiographic signs and symptoms in children treated for tuberculosis: possible implications for symptom-based screening in resource-limited settings. </w:t>
      </w:r>
      <w:r>
        <w:rPr>
          <w:rFonts w:hint="default" w:ascii="Times New Roman" w:hAnsi="Times New Roman" w:cs="Times New Roman"/>
          <w:i/>
          <w:iCs/>
          <w:color w:val="auto"/>
          <w:sz w:val="20"/>
          <w:szCs w:val="20"/>
        </w:rPr>
        <w:t>The Pediatric infectious disease journal</w:t>
      </w:r>
      <w:r>
        <w:rPr>
          <w:rFonts w:hint="default" w:ascii="Times New Roman" w:hAnsi="Times New Roman" w:cs="Times New Roman"/>
          <w:color w:val="auto"/>
          <w:sz w:val="20"/>
          <w:szCs w:val="20"/>
        </w:rPr>
        <w:t>, 25(3), 237-240.</w:t>
      </w:r>
    </w:p>
    <w:p w14:paraId="1B4EA325">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Jaeger, S., et al. (2014). Two public chest X-ray datasets for computer-aided screening of pulmonary diseases. </w:t>
      </w:r>
      <w:r>
        <w:rPr>
          <w:rFonts w:hint="default" w:ascii="Times New Roman" w:hAnsi="Times New Roman" w:cs="Times New Roman"/>
          <w:i/>
          <w:iCs/>
          <w:color w:val="auto"/>
          <w:sz w:val="20"/>
          <w:szCs w:val="20"/>
        </w:rPr>
        <w:t>Quantitative imaging in medicine and surgery</w:t>
      </w:r>
      <w:r>
        <w:rPr>
          <w:rFonts w:hint="default" w:ascii="Times New Roman" w:hAnsi="Times New Roman" w:cs="Times New Roman"/>
          <w:color w:val="auto"/>
          <w:sz w:val="20"/>
          <w:szCs w:val="20"/>
        </w:rPr>
        <w:t>, 4(6), 475.</w:t>
      </w:r>
    </w:p>
    <w:p w14:paraId="349B0E66">
      <w:pPr>
        <w:pStyle w:val="24"/>
        <w:numPr>
          <w:ilvl w:val="0"/>
          <w:numId w:val="2"/>
        </w:numP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Liu, Y., et al. (2020). A large-scale database for pulmonary tuberculosis detection. </w:t>
      </w:r>
      <w:r>
        <w:rPr>
          <w:rFonts w:hint="default" w:ascii="Times New Roman" w:hAnsi="Times New Roman" w:cs="Times New Roman"/>
          <w:i/>
          <w:iCs/>
          <w:color w:val="auto"/>
          <w:sz w:val="20"/>
          <w:szCs w:val="20"/>
        </w:rPr>
        <w:t>arXiv preprint arXiv:2008.10651</w:t>
      </w:r>
      <w:r>
        <w:rPr>
          <w:rFonts w:hint="default" w:ascii="Times New Roman" w:hAnsi="Times New Roman" w:cs="Times New Roman"/>
          <w:color w:val="auto"/>
          <w:sz w:val="20"/>
          <w:szCs w:val="20"/>
        </w:rPr>
        <w:t>.</w:t>
      </w:r>
    </w:p>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21393D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Words>
  <Characters>475</Characters>
  <Lines>12</Lines>
  <Paragraphs>8</Paragraphs>
  <TotalTime>4</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2026-03-08T10:09:00Z</dcterms:created>
  <dc:creator>Vignesh L</dc:creator>
  <cp:keywords>Tuberculosis Screening, Explainable AI, Clinical Decision Support System, Offline-First, CNN Ensemble, Uncertainty Quantification, Generative AI, Retrieval-Augmented Generation</cp:keywords>
  <cp:lastModifiedBy>FF ASSAULT GAMING TAMIL</cp:lastModifiedBy>
  <dcterms:modified xsi:type="dcterms:W3CDTF">2026-03-08T10:16:57Z</dcterms:modified>
  <dc:title>TB-Guard-XAI: An Offline-First, Cloud-Enhanced Clinical Decision Support System for Explainable Tuberculosis Screening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Tuberculosis (TB) remains a critical global health challenge. While deep learning models offer automated screening solutions, their deployment in resource-limited settings is hindered by the black-box nature of standard architectures, lack of robust uncertainty quantification, and strict dependence on internet connectivity. To our knowledge, this work proposes an integrated offline-first TB screening framework combining an uncertainty-aware CNN ensemble with on-demand multimodal Generative AI validation. The foundational offline stage utilizes an ultra-compact (&lt;200MB) RAM-efficient ensemble of DenseNet121, EfficientNet-B4, and ResNet50, enabling it to execute completely offline on consumer-grade edge CPU hardware. Employing Monte Carlo Dropout for Bayesian uncertainty estimation and Grad-CAM++ for visual explainability, cases exhibiting high clinical uncertainty dynamically trigger a multi-stage cloud escalation: vision validation via Gemini 2.5 Pro and clinical synthesis using Mistral Large grounded on WHO evidence via Retrieval-Augmented Generation (RAG). Evaluated across multiple global public datasets, the offline ensemble achieves an internal test accuracy of 97.8% (AUC-ROC: 0.994) with an Expected Calibration Error (ECE) of 0.173. We demonstrate competitive performance against existing commercial CAD systems while significantly reducing deployment costs. External validation on the DA/DB database from Pakistan highlights the realities of geographic domain shifts; while overall accuracy degraded, the system maintained robust sensitivity suitable for first-line triage. By resolving the majority of clear screenings locally and algorithmically escalating complex cases, TB-Guard-XAI presents a highly scalable, cost-effective, and interpretable framework for mass TB screening campaigns.</vt:lpwstr>
  </property>
  <property fmtid="{D5CDD505-2E9C-101B-9397-08002B2CF9AE}" pid="3" name="institute">
    <vt:lpwstr/>
  </property>
  <property fmtid="{D5CDD505-2E9C-101B-9397-08002B2CF9AE}" pid="4" name="KSOProductBuildVer">
    <vt:lpwstr>2057-12.2.0.23196</vt:lpwstr>
  </property>
  <property fmtid="{D5CDD505-2E9C-101B-9397-08002B2CF9AE}" pid="5" name="ICV">
    <vt:lpwstr>F96B0311F8D94B9E832E94A100D48B20_12</vt:lpwstr>
  </property>
</Properties>
</file>