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color w:val="1A237E"/>
          <w:sz w:val="32"/>
        </w:rPr>
        <w:t>PHANTASM: Inverting LLM Failure Modes into Productive Features via</w:t>
        <w:br/>
        <w:t>Probabilistic Hallucination-Aware Neural Transformation</w:t>
        <w:br/>
        <w:t>with Adaptive Synthesis Method</w:t>
      </w:r>
    </w:p>
    <w:p>
      <w:pPr>
        <w:spacing w:after="40"/>
        <w:jc w:val="center"/>
      </w:pPr>
      <w:r>
        <w:rPr>
          <w:rFonts w:ascii="Times New Roman" w:hAnsi="Times New Roman"/>
          <w:b/>
          <w:i w:val="0"/>
          <w:sz w:val="24"/>
        </w:rPr>
        <w:t>Vignesh S</w:t>
      </w:r>
    </w:p>
    <w:p>
      <w:pPr>
        <w:spacing w:after="40"/>
        <w:jc w:val="center"/>
      </w:pPr>
      <w:r>
        <w:rPr>
          <w:rFonts w:ascii="Times New Roman" w:hAnsi="Times New Roman"/>
          <w:b w:val="0"/>
          <w:i/>
          <w:sz w:val="22"/>
        </w:rPr>
        <w:t>Department of Computer Science and Engineering</w:t>
      </w:r>
    </w:p>
    <w:p>
      <w:pPr>
        <w:spacing w:after="40"/>
        <w:jc w:val="center"/>
      </w:pPr>
      <w:r>
        <w:rPr>
          <w:rFonts w:ascii="Times New Roman" w:hAnsi="Times New Roman"/>
          <w:b w:val="0"/>
          <w:i/>
          <w:sz w:val="22"/>
        </w:rPr>
        <w:t>Takshashila University, Chennai, India</w:t>
      </w:r>
    </w:p>
    <w:p>
      <w:pPr>
        <w:spacing w:after="240"/>
        <w:jc w:val="center"/>
      </w:pPr>
      <w:r>
        <w:rPr>
          <w:rFonts w:ascii="Times New Roman" w:hAnsi="Times New Roman"/>
          <w:b w:val="0"/>
          <w:i w:val="0"/>
          <w:color w:val="1A237E"/>
          <w:sz w:val="22"/>
        </w:rPr>
        <w:t>applemacbook6sep2004@gmail.com</w:t>
      </w:r>
    </w:p>
    <w:p>
      <w:pPr>
        <w:spacing w:before="40" w:after="40"/>
        <w:pBdr>
          <w:bottom w:val="single" w:sz="6" w:space="1" w:color="1A237E"/>
        </w:pBdr>
      </w:pPr>
    </w:p>
    <w:p>
      <w:pPr>
        <w:spacing w:before="200" w:after="80"/>
      </w:pPr>
      <w:r>
        <w:rPr>
          <w:rFonts w:ascii="Times New Roman" w:hAnsi="Times New Roman"/>
          <w:b/>
          <w:i w:val="0"/>
          <w:color w:val="1A237E"/>
          <w:sz w:val="24"/>
        </w:rPr>
        <w:t>Abstract</w:t>
      </w:r>
    </w:p>
    <w:p>
      <w:pPr>
        <w:spacing w:after="120"/>
        <w:ind w:left="432" w:right="432"/>
        <w:jc w:val="both"/>
      </w:pPr>
      <w:r>
        <w:rPr>
          <w:rFonts w:ascii="Times New Roman" w:hAnsi="Times New Roman"/>
          <w:b w:val="0"/>
          <w:i/>
          <w:sz w:val="20"/>
        </w:rPr>
        <w:t>Large language models (LLMs) exhibit three persistent failure modes — hallucination, confabulation, and epistemic miscalibration — that the research community has uniformly treated as defects to be suppressed. We challenge this framing with a paradigm inversion. We present PHANTASM (Probabilistic Hallucination-Aware Neural Transformation with Adaptive Synthesis Method), a novel inference-time framework that mathematically converts each failure mode into a structured, actionable, machine-readable asset. Pillar I, Hallucination Gradient Tracing (HGT), exploits the gradient of a self-consistency loss with respect to input embeddings to produce a per-token knowledge-boundary map — called a Competency Atlas — requiring no ground-truth labels and only a single forward-backward pass. Pillar II, the Confabulation Mining Network (CMN), employs a contrastive dual-encoder trained with an InfoNCE-style loss to harvest novel, plausible scientific hypotheses from creative gap-filling outputs. Pillar III, Uncertainty Crystallization (UC), chains Monte-Carlo Dropout, learned temperature scaling, and Conformal Prediction to produce statistically-guaranteed four-tier reliability classifications. PHANTASM operates post-hoc on any HuggingFace causal language model without weight modification. Evaluated on potsawee/wiki_bio_gpt3_hallucination and vectara/hallucinated-faithfulness-benchmark, HGT achieves AUROC 0.83 on LLaMA-7B — a +9.2% gain over SelfCheckGPT — while UC reduces Expected Calibration Error (ECE) from 0.187 to 0.041 on GPT-2, a 78% improvement. CMN surfaces 847 hypotheses with Novelty@5 = 0.67 and 77% expert plausibility versus 8% novelty under standard filtering approaches. PHANTASM is released as an open-source Python package (pip install phantasm-llm) under the Apache 2.0 license at github.com/vignesh2027/PHANTASM.</w:t>
      </w:r>
    </w:p>
    <w:p>
      <w:pPr>
        <w:spacing w:after="200"/>
        <w:ind w:left="432"/>
      </w:pPr>
      <w:r>
        <w:rPr>
          <w:rFonts w:ascii="Times New Roman" w:hAnsi="Times New Roman"/>
          <w:b/>
          <w:i w:val="0"/>
          <w:sz w:val="20"/>
        </w:rPr>
        <w:t xml:space="preserve">Keywords: </w:t>
      </w:r>
      <w:r>
        <w:rPr>
          <w:rFonts w:ascii="Times New Roman" w:hAnsi="Times New Roman"/>
          <w:b w:val="0"/>
          <w:i/>
          <w:sz w:val="20"/>
        </w:rPr>
        <w:t>hallucination detection, confabulation mining, uncertainty calibration, conformal prediction, large language models, knowledge boundaries, scientific hypothesis generation, PyTorch</w:t>
      </w:r>
    </w:p>
    <w:p>
      <w:pPr>
        <w:spacing w:before="40" w:after="40"/>
        <w:pBdr>
          <w:bottom w:val="single" w:sz="6" w:space="1" w:color="1A237E"/>
        </w:pBdr>
      </w:pPr>
    </w:p>
    <w:p>
      <w:pPr>
        <w:spacing w:before="280" w:after="80"/>
      </w:pPr>
      <w:r>
        <w:rPr>
          <w:rFonts w:ascii="Times New Roman" w:hAnsi="Times New Roman"/>
          <w:b/>
          <w:i w:val="0"/>
          <w:color w:val="1A237E"/>
          <w:sz w:val="26"/>
        </w:rPr>
        <w:t>1.  Introduction</w:t>
      </w:r>
    </w:p>
    <w:p>
      <w:pPr>
        <w:spacing w:after="120" w:before="0"/>
        <w:ind w:firstLine="432"/>
        <w:jc w:val="both"/>
      </w:pPr>
      <w:r>
        <w:rPr>
          <w:rFonts w:ascii="Times New Roman" w:hAnsi="Times New Roman"/>
          <w:b w:val="0"/>
          <w:i w:val="0"/>
          <w:sz w:val="22"/>
        </w:rPr>
        <w:t>The landscape of large language model (LLM) reliability research is dominated by a single implicit assumption: failure modes are defects. Retrieval-Augmented Generation [Lewis et al., 2020] grounds generation in retrieved documents to prevent hallucination. Reinforcement Learning from Human Feedback [Ouyang et al., 2022] penalizes hallucinated outputs during training. Fact-verification pipelines [Min et al., 2023] detect and discard non-factual generations. SelfCheckGPT [Manakul et al., 2023] samples multiple outputs and uses mutual inconsistency as a hallucination proxy. Every one of these frameworks treats the hallucinated output as waste — something to be caught, penalized, and thrown away.</w:t>
      </w:r>
    </w:p>
    <w:p>
      <w:pPr>
        <w:spacing w:after="120" w:before="0"/>
        <w:ind w:firstLine="432"/>
        <w:jc w:val="both"/>
      </w:pPr>
      <w:r>
        <w:rPr>
          <w:rFonts w:ascii="Times New Roman" w:hAnsi="Times New Roman"/>
          <w:b w:val="0"/>
          <w:i w:val="0"/>
          <w:sz w:val="22"/>
        </w:rPr>
        <w:t>This paper challenges that assumption at its foundation. We observe three facts that the existing literature has not collectively operationalized. First, when a model hallucinates at token position i, it does so because the gradient landscape at that position is steep — the model's representation is at the boundary of its training distribution. This is not random noise. It is a precise, reproducible, gradient-traceable signal about where the model's knowledge ends. Second, when a model confabulates — creatively fills a knowledge gap with a plausible-sounding output — it is recombining real learned concepts in ways the training data never explicitly charted. Those recombinations are, by definition, novel hypothesis candidates. Third, when a model is overconfident on a wrong answer, the pattern of that overconfidence encodes which training distributions were overrepresented, enabling precision calibration that simple temperature scaling cannot achieve.</w:t>
      </w:r>
    </w:p>
    <w:p>
      <w:pPr>
        <w:spacing w:after="120" w:before="0"/>
        <w:ind w:firstLine="432"/>
        <w:jc w:val="both"/>
      </w:pPr>
      <w:r>
        <w:rPr>
          <w:rFonts w:ascii="Times New Roman" w:hAnsi="Times New Roman"/>
          <w:b w:val="0"/>
          <w:i w:val="0"/>
          <w:sz w:val="22"/>
        </w:rPr>
        <w:t>From these observations, we derive PHANTASM — a three-pillar, post-hoc, model-agnostic inference framework. The name stands for Probabilistic Hallucination-Aware Neural Transformation with Adaptive Synthesis Method. PHANTASM does not suppress LLM failures; it harvests them. It is the first framework to operationalize the conversion of all three major LLM failure modes into productive, structured outputs with quantified quality guarantees.</w:t>
      </w:r>
    </w:p>
    <w:p>
      <w:pPr>
        <w:spacing w:before="160" w:after="80"/>
      </w:pPr>
      <w:r>
        <w:rPr>
          <w:rFonts w:ascii="Times New Roman" w:hAnsi="Times New Roman"/>
          <w:b/>
          <w:i w:val="0"/>
          <w:color w:val="283593"/>
          <w:sz w:val="22"/>
        </w:rPr>
        <w:t>1.1  Contributions</w:t>
      </w:r>
    </w:p>
    <w:p>
      <w:pPr>
        <w:pStyle w:val="ListBullet"/>
        <w:spacing w:after="60" w:before="0"/>
      </w:pPr>
      <w:r>
        <w:rPr>
          <w:rFonts w:ascii="Times New Roman" w:hAnsi="Times New Roman"/>
          <w:b/>
          <w:i w:val="0"/>
          <w:sz w:val="22"/>
        </w:rPr>
        <w:t xml:space="preserve">Pillar I — </w:t>
      </w:r>
      <w:r>
        <w:rPr>
          <w:rFonts w:ascii="Times New Roman" w:hAnsi="Times New Roman"/>
          <w:b w:val="0"/>
          <w:i w:val="0"/>
          <w:sz w:val="22"/>
        </w:rPr>
        <w:t xml:space="preserve"> Hallucination Gradient Tracing (HGT): a no-ground-truth, single-pass knowledge-boundary mapper that exploits embedding-layer gradients to produce a per-token Competency Atlas.</w:t>
      </w:r>
    </w:p>
    <w:p>
      <w:pPr>
        <w:pStyle w:val="ListBullet"/>
        <w:spacing w:after="60" w:before="0"/>
      </w:pPr>
      <w:r>
        <w:rPr>
          <w:rFonts w:ascii="Times New Roman" w:hAnsi="Times New Roman"/>
          <w:b/>
          <w:i w:val="0"/>
          <w:sz w:val="22"/>
        </w:rPr>
        <w:t xml:space="preserve">Pillar II — </w:t>
      </w:r>
      <w:r>
        <w:rPr>
          <w:rFonts w:ascii="Times New Roman" w:hAnsi="Times New Roman"/>
          <w:b w:val="0"/>
          <w:i w:val="0"/>
          <w:sz w:val="22"/>
        </w:rPr>
        <w:t xml:space="preserve"> Confabulation Mining Network (CMN): a contrastive dual-encoder that converts confabulated outputs into ranked scientific hypotheses with novelty and plausibility scores.</w:t>
      </w:r>
    </w:p>
    <w:p>
      <w:pPr>
        <w:pStyle w:val="ListBullet"/>
        <w:spacing w:after="60" w:before="0"/>
      </w:pPr>
      <w:r>
        <w:rPr>
          <w:rFonts w:ascii="Times New Roman" w:hAnsi="Times New Roman"/>
          <w:b/>
          <w:i w:val="0"/>
          <w:sz w:val="22"/>
        </w:rPr>
        <w:t xml:space="preserve">Pillar III — </w:t>
      </w:r>
      <w:r>
        <w:rPr>
          <w:rFonts w:ascii="Times New Roman" w:hAnsi="Times New Roman"/>
          <w:b w:val="0"/>
          <w:i w:val="0"/>
          <w:sz w:val="22"/>
        </w:rPr>
        <w:t xml:space="preserve"> Uncertainty Crystallization (UC): a three-stage calibration pipeline combining Monte-Carlo Dropout, temperature scaling, and Conformal Prediction, yielding statistically-guaranteed reliability tiers.</w:t>
      </w:r>
    </w:p>
    <w:p>
      <w:pPr>
        <w:pStyle w:val="ListBullet"/>
        <w:spacing w:after="60" w:before="0"/>
      </w:pPr>
      <w:r>
        <w:rPr>
          <w:rFonts w:ascii="Times New Roman" w:hAnsi="Times New Roman"/>
          <w:b/>
          <w:i w:val="0"/>
          <w:sz w:val="22"/>
        </w:rPr>
        <w:t xml:space="preserve">Open-source release — </w:t>
      </w:r>
      <w:r>
        <w:rPr>
          <w:rFonts w:ascii="Times New Roman" w:hAnsi="Times New Roman"/>
          <w:b w:val="0"/>
          <w:i w:val="0"/>
          <w:sz w:val="22"/>
        </w:rPr>
        <w:t xml:space="preserve"> A unified PHANTASMPipeline wrapping any HuggingFace causal LM, released as phantasm-llm on PyPI under Apache 2.0 with full documentation at vignesh2027.github.io/PHANTASM.</w:t>
      </w:r>
    </w:p>
    <w:p>
      <w:pPr>
        <w:spacing w:before="280" w:after="80"/>
      </w:pPr>
      <w:r>
        <w:rPr>
          <w:rFonts w:ascii="Times New Roman" w:hAnsi="Times New Roman"/>
          <w:b/>
          <w:i w:val="0"/>
          <w:color w:val="1A237E"/>
          <w:sz w:val="26"/>
        </w:rPr>
        <w:t>2.  Related Work</w:t>
      </w:r>
    </w:p>
    <w:p>
      <w:pPr>
        <w:spacing w:before="160" w:after="80"/>
      </w:pPr>
      <w:r>
        <w:rPr>
          <w:rFonts w:ascii="Times New Roman" w:hAnsi="Times New Roman"/>
          <w:b/>
          <w:i w:val="0"/>
          <w:color w:val="283593"/>
          <w:sz w:val="22"/>
        </w:rPr>
        <w:t>2.1  Hallucination Detection</w:t>
      </w:r>
    </w:p>
    <w:p>
      <w:pPr>
        <w:spacing w:after="120" w:before="0"/>
        <w:ind w:firstLine="432"/>
        <w:jc w:val="both"/>
      </w:pPr>
      <w:r>
        <w:rPr>
          <w:rFonts w:ascii="Times New Roman" w:hAnsi="Times New Roman"/>
          <w:b w:val="0"/>
          <w:i w:val="0"/>
          <w:sz w:val="22"/>
        </w:rPr>
        <w:t>SAPLMA [Azaria &amp; Mitchell, 2023] probes internal hidden states to detect hallucinations, treating them as a binary classification problem. SelfCheckGPT [Manakul et al., 2023] generates N samples and uses pairwise inconsistency as a hallucination score — requiring N forward passes (typically N=20). FActScoring [Min et al., 2023] decomposes long-form generations into atomic claims and verifies each against a retrieval corpus, requiring access to an external knowledge base and a fine-tuned verifier. HaDes [Liu et al., 2022] uses a discriminative classifier trained on contrast sets. All of these require either labeled data, multiple samples, or external systems. HGT requires none of these: a single forward-backward pass on the model's own output is sufficient, with no external dependencies.</w:t>
      </w:r>
    </w:p>
    <w:p>
      <w:pPr>
        <w:spacing w:before="160" w:after="80"/>
      </w:pPr>
      <w:r>
        <w:rPr>
          <w:rFonts w:ascii="Times New Roman" w:hAnsi="Times New Roman"/>
          <w:b/>
          <w:i w:val="0"/>
          <w:color w:val="283593"/>
          <w:sz w:val="22"/>
        </w:rPr>
        <w:t>2.2  Confidence Calibration</w:t>
      </w:r>
    </w:p>
    <w:p>
      <w:pPr>
        <w:spacing w:after="120" w:before="0"/>
        <w:ind w:firstLine="432"/>
        <w:jc w:val="both"/>
      </w:pPr>
      <w:r>
        <w:rPr>
          <w:rFonts w:ascii="Times New Roman" w:hAnsi="Times New Roman"/>
          <w:b w:val="0"/>
          <w:i w:val="0"/>
          <w:sz w:val="22"/>
        </w:rPr>
        <w:t>Temperature scaling [Guo et al., 2017] post-hoc rescales logits by a scalar T optimized on a calibration set. Platt scaling [Platt, 1999] fits a logistic function. Label smoothing [Müller et al., 2019] improves calibration during training but requires retraining. Ensemble methods [Lakshminarayanan et al., 2017] improve calibration but multiply inference cost. None of these methods provide statistically-guaranteed coverage intervals. Conformal Prediction [Angelopoulos &amp; Bates, 2022; Vovk et al., 2005] provides distribution-free coverage guarantees under exchangeability but has not previously been integrated into a unified LLM reliability tier system. UC is the first to do so, combining MC-Dropout, temperature scaling, and Conformal Prediction in a single deployable pipeline.</w:t>
      </w:r>
    </w:p>
    <w:p>
      <w:pPr>
        <w:spacing w:before="160" w:after="80"/>
      </w:pPr>
      <w:r>
        <w:rPr>
          <w:rFonts w:ascii="Times New Roman" w:hAnsi="Times New Roman"/>
          <w:b/>
          <w:i w:val="0"/>
          <w:color w:val="283593"/>
          <w:sz w:val="22"/>
        </w:rPr>
        <w:t>2.3  Hypothesis Generation and Confabulation</w:t>
      </w:r>
    </w:p>
    <w:p>
      <w:pPr>
        <w:spacing w:after="120" w:before="0"/>
        <w:ind w:firstLine="432"/>
        <w:jc w:val="both"/>
      </w:pPr>
      <w:r>
        <w:rPr>
          <w:rFonts w:ascii="Times New Roman" w:hAnsi="Times New Roman"/>
          <w:b w:val="0"/>
          <w:i w:val="0"/>
          <w:sz w:val="22"/>
        </w:rPr>
        <w:t>Scientific hypothesis generation from LLMs [Wang et al., 2023; Bran et al., 2023] has been studied with RAG and chain-of-thought prompting. Drug-discovery applications [Bran et al., 2023] use LLMs to propose candidate compounds but filter out non-grounded outputs. No prior work systematically mines confabulations — the creative, gap-filling outputs that are currently discarded — as a source of scientific hypotheses. The Confabulation Mining Network introduces contrastive learning to this problem for the first time, defining a formal novelty-plausibility trade-off and a mining threshold that optimizes expert acceptance rate.</w:t>
      </w:r>
    </w:p>
    <w:p>
      <w:pPr>
        <w:spacing w:before="160" w:after="80"/>
      </w:pPr>
      <w:r>
        <w:rPr>
          <w:rFonts w:ascii="Times New Roman" w:hAnsi="Times New Roman"/>
          <w:b/>
          <w:i w:val="0"/>
          <w:color w:val="283593"/>
          <w:sz w:val="22"/>
        </w:rPr>
        <w:t>2.4  Self-Knowledge in LLMs</w:t>
      </w:r>
    </w:p>
    <w:p>
      <w:pPr>
        <w:spacing w:after="120" w:before="0"/>
        <w:ind w:firstLine="432"/>
        <w:jc w:val="both"/>
      </w:pPr>
      <w:r>
        <w:rPr>
          <w:rFonts w:ascii="Times New Roman" w:hAnsi="Times New Roman"/>
          <w:b w:val="0"/>
          <w:i w:val="0"/>
          <w:sz w:val="22"/>
        </w:rPr>
        <w:t>Kadavath et al. [2022] probe whether models can predict their own correctness via P(True) prompting. Kuhn et al. [2023] study semantic entropy as an uncertainty measure. PHANTASM goes further: rather than asking whether the model knows what it knows, PHANTASM extracts structured value from what it does not know — converting knowledge absence into knowledge maps, hypotheses, and calibrated oracles.</w:t>
      </w:r>
    </w:p>
    <w:p>
      <w:pPr>
        <w:spacing w:before="280" w:after="80"/>
      </w:pPr>
      <w:r>
        <w:rPr>
          <w:rFonts w:ascii="Times New Roman" w:hAnsi="Times New Roman"/>
          <w:b/>
          <w:i w:val="0"/>
          <w:color w:val="1A237E"/>
          <w:sz w:val="26"/>
        </w:rPr>
        <w:t>3.  The PHANTASM Framework</w:t>
      </w:r>
    </w:p>
    <w:p>
      <w:pPr>
        <w:spacing w:after="120" w:before="0"/>
        <w:ind w:firstLine="432"/>
        <w:jc w:val="both"/>
      </w:pPr>
      <w:r>
        <w:rPr>
          <w:rFonts w:ascii="Times New Roman" w:hAnsi="Times New Roman"/>
          <w:b w:val="0"/>
          <w:i w:val="0"/>
          <w:sz w:val="22"/>
        </w:rPr>
        <w:t>PHANTASM wraps any HuggingFace AutoModelForCausalLM with three analytical pillars. Each pillar operates independently and can be used standalone or jointly via the PHANTASMPipeline. No model weights are modified; no task-specific fine-tuning is required. The framework is initialized with a single call:</w:t>
      </w:r>
    </w:p>
    <w:p>
      <w:pPr>
        <w:spacing w:before="80" w:after="80"/>
        <w:jc w:val="center"/>
      </w:pPr>
      <w:r>
        <w:rPr>
          <w:rFonts w:ascii="Cambria Math" w:hAnsi="Cambria Math"/>
          <w:b w:val="0"/>
          <w:i/>
          <w:color w:val="3C3C8C"/>
          <w:sz w:val="22"/>
        </w:rPr>
        <w:t>pipeline = PHANTASMPipeline.from_pretrained(model_name)</w:t>
      </w:r>
    </w:p>
    <w:p>
      <w:pPr>
        <w:spacing w:after="160"/>
        <w:jc w:val="center"/>
      </w:pPr>
      <w:r>
        <w:rPr>
          <w:rFonts w:ascii="Times New Roman" w:hAnsi="Times New Roman"/>
          <w:b w:val="0"/>
          <w:i/>
          <w:color w:val="646464"/>
          <w:sz w:val="18"/>
        </w:rPr>
        <w:t>Unified pipeline initialization. Model weights are frozen throughout.</w:t>
      </w:r>
    </w:p>
    <w:p>
      <w:pPr>
        <w:spacing w:before="200" w:after="80"/>
      </w:pPr>
      <w:r>
        <w:rPr>
          <w:rFonts w:ascii="Times New Roman" w:hAnsi="Times New Roman"/>
          <w:b/>
          <w:i w:val="0"/>
          <w:color w:val="283593"/>
          <w:sz w:val="22"/>
        </w:rPr>
        <w:t>3.1  Pillar I: Hallucination Gradient Tracing (HGT)</w:t>
      </w:r>
    </w:p>
    <w:p>
      <w:pPr>
        <w:spacing w:after="120" w:before="0"/>
        <w:ind w:firstLine="432"/>
        <w:jc w:val="both"/>
      </w:pPr>
      <w:r>
        <w:rPr>
          <w:rFonts w:ascii="Times New Roman" w:hAnsi="Times New Roman"/>
          <w:b w:val="0"/>
          <w:i w:val="0"/>
          <w:sz w:val="22"/>
        </w:rPr>
        <w:t>Motivation. Standard hallucination detection treats the model as a black box and compares outputs to external knowledge. HGT treats the model as a white box and reads the gradient landscape. The core insight: if the model is uncertain about a token, the loss is sensitive to small perturbations in that token's embedding — i.e., the gradient norm is large.</w:t>
      </w:r>
    </w:p>
    <w:p>
      <w:pPr>
        <w:spacing w:after="120" w:before="0"/>
        <w:ind w:firstLine="432"/>
        <w:jc w:val="both"/>
      </w:pPr>
      <w:r>
        <w:rPr>
          <w:rFonts w:ascii="Times New Roman" w:hAnsi="Times New Roman"/>
          <w:b w:val="0"/>
          <w:i w:val="0"/>
          <w:sz w:val="22"/>
        </w:rPr>
        <w:t>Formulation. Let f_θ be a causal LM parameterized by θ. Given input token sequence x = (x₁, ..., x_T) with embedding matrix E, let eᵢ = E(xᵢ) ∈ ℝᵈ. The self-consistency loss is defined as:</w:t>
      </w:r>
    </w:p>
    <w:p>
      <w:pPr>
        <w:spacing w:before="80" w:after="80"/>
        <w:jc w:val="center"/>
      </w:pPr>
      <w:r>
        <w:rPr>
          <w:rFonts w:ascii="Cambria Math" w:hAnsi="Cambria Math"/>
          <w:b w:val="0"/>
          <w:i/>
          <w:color w:val="3C3C8C"/>
          <w:sz w:val="22"/>
        </w:rPr>
        <w:t>L_sc = −∑ᵢ₌₁ᵀ log p_θ(ŷᵢ | x₍&lt;ᵢ₎),   where ŷᵢ = argmax_v p_θ(v | x₍&lt;ᵢ₎)</w:t>
      </w:r>
    </w:p>
    <w:p>
      <w:pPr>
        <w:spacing w:after="160"/>
        <w:jc w:val="center"/>
      </w:pPr>
      <w:r>
        <w:rPr>
          <w:rFonts w:ascii="Times New Roman" w:hAnsi="Times New Roman"/>
          <w:b w:val="0"/>
          <w:i/>
          <w:color w:val="646464"/>
          <w:sz w:val="18"/>
        </w:rPr>
        <w:t>Eq. 1: Self-consistency loss using the model's own top-1 predictions as targets.</w:t>
      </w:r>
    </w:p>
    <w:p>
      <w:pPr>
        <w:spacing w:after="120" w:before="0"/>
        <w:ind w:firstLine="432"/>
        <w:jc w:val="both"/>
      </w:pPr>
      <w:r>
        <w:rPr>
          <w:rFonts w:ascii="Times New Roman" w:hAnsi="Times New Roman"/>
          <w:b w:val="0"/>
          <w:i w:val="0"/>
          <w:sz w:val="22"/>
        </w:rPr>
        <w:t>The HGT knowledge-boundary score at position i is:</w:t>
      </w:r>
    </w:p>
    <w:p>
      <w:pPr>
        <w:spacing w:before="80" w:after="80"/>
        <w:jc w:val="center"/>
      </w:pPr>
      <w:r>
        <w:rPr>
          <w:rFonts w:ascii="Cambria Math" w:hAnsi="Cambria Math"/>
          <w:b w:val="0"/>
          <w:i/>
          <w:color w:val="3C3C8C"/>
          <w:sz w:val="22"/>
        </w:rPr>
        <w:t>sᵢ = 1 − ‖∇_eᵢ L_sc‖ / max_j ‖∇_eⱼ L_sc‖   ∈ [0, 1]</w:t>
      </w:r>
    </w:p>
    <w:p>
      <w:pPr>
        <w:spacing w:after="160"/>
        <w:jc w:val="center"/>
      </w:pPr>
      <w:r>
        <w:rPr>
          <w:rFonts w:ascii="Times New Roman" w:hAnsi="Times New Roman"/>
          <w:b w:val="0"/>
          <w:i/>
          <w:color w:val="646464"/>
          <w:sz w:val="18"/>
        </w:rPr>
        <w:t>Eq. 2: Normalized boundary score. sᵢ ≈ 0 at knowledge boundaries; sᵢ ≈ 1 where grounded.</w:t>
      </w:r>
    </w:p>
    <w:p>
      <w:pPr>
        <w:spacing w:after="120" w:before="0"/>
        <w:ind w:firstLine="432"/>
        <w:jc w:val="both"/>
      </w:pPr>
      <w:r>
        <w:rPr>
          <w:rFonts w:ascii="Times New Roman" w:hAnsi="Times New Roman"/>
          <w:b w:val="0"/>
          <w:i w:val="0"/>
          <w:sz w:val="22"/>
        </w:rPr>
        <w:t>The overall hallucination risk for a sequence is r = 1 − (1/T) ∑ᵢ sᵢ. Tokens with sᵢ &lt; τ (default τ = 0.35) are returned as knowledge_gaps with severity labels ('high' if sᵢ &lt; 0.15, 'medium' otherwise). The CompetencyAtlas dataclass bundles token_scores, boundary_tokens, knowledge_gaps, and overall_hallucination_risk into a single structured output.</w:t>
      </w:r>
    </w:p>
    <w:p>
      <w:pPr>
        <w:spacing w:after="120" w:before="0"/>
        <w:ind w:firstLine="432"/>
        <w:jc w:val="both"/>
      </w:pPr>
      <w:r>
        <w:rPr>
          <w:rFonts w:ascii="Times New Roman" w:hAnsi="Times New Roman"/>
          <w:b w:val="0"/>
          <w:i w:val="0"/>
          <w:sz w:val="22"/>
        </w:rPr>
        <w:t>Computational efficiency. HGT requires exactly one forward pass and one backward pass. This is O(1) overhead relative to standard inference — approximately 1.4–1.8× wall-clock time depending on model size. Compare to SelfCheckGPT which requires N=20 forward passes (20× overhead).</w:t>
      </w:r>
    </w:p>
    <w:p>
      <w:pPr>
        <w:spacing w:before="200" w:after="80"/>
      </w:pPr>
      <w:r>
        <w:rPr>
          <w:rFonts w:ascii="Times New Roman" w:hAnsi="Times New Roman"/>
          <w:b/>
          <w:i w:val="0"/>
          <w:color w:val="283593"/>
          <w:sz w:val="22"/>
        </w:rPr>
        <w:t>3.2  Pillar II: Confabulation Mining Network (CMN)</w:t>
      </w:r>
    </w:p>
    <w:p>
      <w:pPr>
        <w:spacing w:after="120" w:before="0"/>
        <w:ind w:firstLine="432"/>
        <w:jc w:val="both"/>
      </w:pPr>
      <w:r>
        <w:rPr>
          <w:rFonts w:ascii="Times New Roman" w:hAnsi="Times New Roman"/>
          <w:b w:val="0"/>
          <w:i w:val="0"/>
          <w:sz w:val="22"/>
        </w:rPr>
        <w:t>Motivation. A confabulation is a path through the model's semantic manifold that training data never explicitly mapped. When the model combines concepts A and B in a way it was never shown, the combination AB is a hypothesis — novel by construction. CMN's task is to filter the space of confabulations for those that are both sufficiently novel (genuinely undiscovered) and sufficiently plausible (internally coherent with established domain knowledge).</w:t>
      </w:r>
    </w:p>
    <w:p>
      <w:pPr>
        <w:spacing w:after="120" w:before="0"/>
        <w:ind w:firstLine="432"/>
        <w:jc w:val="both"/>
      </w:pPr>
      <w:r>
        <w:rPr>
          <w:rFonts w:ascii="Times New Roman" w:hAnsi="Times New Roman"/>
          <w:b w:val="0"/>
          <w:i w:val="0"/>
          <w:sz w:val="22"/>
        </w:rPr>
        <w:t>Architecture. CMN is a dual-encoder system (φ_C, φ_N, φ_P):</w:t>
      </w:r>
    </w:p>
    <w:p>
      <w:pPr>
        <w:pStyle w:val="ListBullet"/>
        <w:spacing w:after="60" w:before="0"/>
      </w:pPr>
      <w:r>
        <w:rPr>
          <w:rFonts w:ascii="Times New Roman" w:hAnsi="Times New Roman"/>
          <w:b/>
          <w:i w:val="0"/>
          <w:sz w:val="22"/>
        </w:rPr>
        <w:t xml:space="preserve">ConceptExtractor — </w:t>
      </w:r>
      <w:r>
        <w:rPr>
          <w:rFonts w:ascii="Times New Roman" w:hAnsi="Times New Roman"/>
          <w:b w:val="0"/>
          <w:i w:val="0"/>
          <w:sz w:val="22"/>
        </w:rPr>
        <w:t xml:space="preserve"> φ_C (ConceptExtractor): A 2-layer Transformer encoder mapping token sequences to concept vectors c ∈ ℝ^(L × d). Shared weights process both confabulated and factual inputs.</w:t>
      </w:r>
    </w:p>
    <w:p>
      <w:pPr>
        <w:pStyle w:val="ListBullet"/>
        <w:spacing w:after="60" w:before="0"/>
      </w:pPr>
      <w:r>
        <w:rPr>
          <w:rFonts w:ascii="Times New Roman" w:hAnsi="Times New Roman"/>
          <w:b/>
          <w:i w:val="0"/>
          <w:sz w:val="22"/>
        </w:rPr>
        <w:t xml:space="preserve">NoveltyScorer — </w:t>
      </w:r>
      <w:r>
        <w:rPr>
          <w:rFonts w:ascii="Times New Roman" w:hAnsi="Times New Roman"/>
          <w:b w:val="0"/>
          <w:i w:val="0"/>
          <w:sz w:val="22"/>
        </w:rPr>
        <w:t xml:space="preserve"> φ_N (NoveltyScorer): A 3-layer MLP computing nov(c̄_confab, c̄_fact) ∈ [0,1] where c̄ = mean pooling over L. High score ↔ confabulation is distant from the factual reference in concept space.</w:t>
      </w:r>
    </w:p>
    <w:p>
      <w:pPr>
        <w:pStyle w:val="ListBullet"/>
        <w:spacing w:after="60" w:before="0"/>
      </w:pPr>
      <w:r>
        <w:rPr>
          <w:rFonts w:ascii="Times New Roman" w:hAnsi="Times New Roman"/>
          <w:b/>
          <w:i w:val="0"/>
          <w:sz w:val="22"/>
        </w:rPr>
        <w:t xml:space="preserve">PlausibilityScorer — </w:t>
      </w:r>
      <w:r>
        <w:rPr>
          <w:rFonts w:ascii="Times New Roman" w:hAnsi="Times New Roman"/>
          <w:b w:val="0"/>
          <w:i w:val="0"/>
          <w:sz w:val="22"/>
        </w:rPr>
        <w:t xml:space="preserve"> φ_P (PlausibilityScorer): A self-attention module followed by MLP computing pla(c_confab) ∈ [0,1], measuring internal semantic coherence independent of the reference.</w:t>
      </w:r>
    </w:p>
    <w:p>
      <w:pPr>
        <w:spacing w:after="120" w:before="0"/>
        <w:ind w:firstLine="432"/>
        <w:jc w:val="both"/>
      </w:pPr>
      <w:r>
        <w:rPr>
          <w:rFonts w:ascii="Times New Roman" w:hAnsi="Times New Roman"/>
          <w:b w:val="0"/>
          <w:i w:val="0"/>
          <w:sz w:val="22"/>
        </w:rPr>
        <w:t>Training objective:</w:t>
      </w:r>
    </w:p>
    <w:p>
      <w:pPr>
        <w:spacing w:before="80" w:after="80"/>
        <w:jc w:val="center"/>
      </w:pPr>
      <w:r>
        <w:rPr>
          <w:rFonts w:ascii="Cambria Math" w:hAnsi="Cambria Math"/>
          <w:b w:val="0"/>
          <w:i/>
          <w:color w:val="3C3C8C"/>
          <w:sz w:val="22"/>
        </w:rPr>
        <w:t>L_CMN = −α · log σ((1 − cos(c̄_confab, c̄_fact))/τ) + β · BCE(pla(c_confab), 1)</w:t>
      </w:r>
    </w:p>
    <w:p>
      <w:pPr>
        <w:spacing w:after="160"/>
        <w:jc w:val="center"/>
      </w:pPr>
      <w:r>
        <w:rPr>
          <w:rFonts w:ascii="Times New Roman" w:hAnsi="Times New Roman"/>
          <w:b w:val="0"/>
          <w:i/>
          <w:color w:val="646464"/>
          <w:sz w:val="18"/>
        </w:rPr>
        <w:t>Eq. 3: CMN loss. α=0.6, β=0.4, τ=0.07. First term maximizes novelty; second enforces coherence.</w:t>
      </w:r>
    </w:p>
    <w:p>
      <w:pPr>
        <w:spacing w:after="120" w:before="0"/>
        <w:ind w:firstLine="432"/>
        <w:jc w:val="both"/>
      </w:pPr>
      <w:r>
        <w:rPr>
          <w:rFonts w:ascii="Times New Roman" w:hAnsi="Times New Roman"/>
          <w:b w:val="0"/>
          <w:i w:val="0"/>
          <w:sz w:val="22"/>
        </w:rPr>
        <w:t>At inference, CMN filters outputs where nov ≥ 0.45 and pla ≥ 0.50, returning Hypothesis objects with novelty_score, plausibility_score, source_concepts, and domain label. The threshold pair (0.45, 0.50) was determined by grid search maximizing expert acceptance rate on a chemistry validation set (Section 4.3).</w:t>
      </w:r>
    </w:p>
    <w:p>
      <w:pPr>
        <w:spacing w:before="200" w:after="80"/>
      </w:pPr>
      <w:r>
        <w:rPr>
          <w:rFonts w:ascii="Times New Roman" w:hAnsi="Times New Roman"/>
          <w:b/>
          <w:i w:val="0"/>
          <w:color w:val="283593"/>
          <w:sz w:val="22"/>
        </w:rPr>
        <w:t>3.3  Pillar III: Uncertainty Crystallization (UC)</w:t>
      </w:r>
    </w:p>
    <w:p>
      <w:pPr>
        <w:spacing w:after="120" w:before="0"/>
        <w:ind w:firstLine="432"/>
        <w:jc w:val="both"/>
      </w:pPr>
      <w:r>
        <w:rPr>
          <w:rFonts w:ascii="Times New Roman" w:hAnsi="Times New Roman"/>
          <w:b w:val="0"/>
          <w:i w:val="0"/>
          <w:sz w:val="22"/>
        </w:rPr>
        <w:t>Motivation. Modern LLMs are systematically overconfident [Guo et al., 2017]: they report 90%+ confidence on outputs that are correct only 60–70% of the time. UC addresses this with a three-stage pipeline that progressively refines raw confidence into a statistically-guaranteed reliability tier.</w:t>
      </w:r>
    </w:p>
    <w:p>
      <w:pPr>
        <w:spacing w:after="120" w:before="0"/>
        <w:ind w:firstLine="432"/>
        <w:jc w:val="both"/>
      </w:pPr>
      <w:r>
        <w:rPr>
          <w:rFonts w:ascii="Times New Roman" w:hAnsi="Times New Roman"/>
          <w:b w:val="0"/>
          <w:i w:val="0"/>
          <w:sz w:val="22"/>
        </w:rPr>
        <w:t>Stage 1 — Monte-Carlo Dropout Sampling:</w:t>
      </w:r>
    </w:p>
    <w:p>
      <w:pPr>
        <w:spacing w:before="80" w:after="80"/>
        <w:jc w:val="center"/>
      </w:pPr>
      <w:r>
        <w:rPr>
          <w:rFonts w:ascii="Cambria Math" w:hAnsi="Cambria Math"/>
          <w:b w:val="0"/>
          <w:i/>
          <w:color w:val="3C3C8C"/>
          <w:sz w:val="22"/>
        </w:rPr>
        <w:t>σ²_ep = Var_n[p_θ^(n)],   u_al = E_n[H(p_θ^(n))],   n = 1, ..., N</w:t>
      </w:r>
    </w:p>
    <w:p>
      <w:pPr>
        <w:spacing w:after="160"/>
        <w:jc w:val="center"/>
      </w:pPr>
      <w:r>
        <w:rPr>
          <w:rFonts w:ascii="Times New Roman" w:hAnsi="Times New Roman"/>
          <w:b w:val="0"/>
          <w:i/>
          <w:color w:val="646464"/>
          <w:sz w:val="18"/>
        </w:rPr>
        <w:t>Eq. 4: Epistemic uncertainty (variance across N=30 MC-Dropout samples) and aleatoric uncertainty (expected entropy).</w:t>
      </w:r>
    </w:p>
    <w:p>
      <w:pPr>
        <w:spacing w:after="120" w:before="0"/>
        <w:ind w:firstLine="432"/>
        <w:jc w:val="both"/>
      </w:pPr>
      <w:r>
        <w:rPr>
          <w:rFonts w:ascii="Times New Roman" w:hAnsi="Times New Roman"/>
          <w:b w:val="0"/>
          <w:i w:val="0"/>
          <w:sz w:val="22"/>
        </w:rPr>
        <w:t>Stage 2 — Temperature Scaling:</w:t>
      </w:r>
    </w:p>
    <w:p>
      <w:pPr>
        <w:spacing w:before="80" w:after="80"/>
        <w:jc w:val="center"/>
      </w:pPr>
      <w:r>
        <w:rPr>
          <w:rFonts w:ascii="Cambria Math" w:hAnsi="Cambria Math"/>
          <w:b w:val="0"/>
          <w:i/>
          <w:color w:val="3C3C8C"/>
          <w:sz w:val="22"/>
        </w:rPr>
        <w:t>T* = argmin_T L_NLL(f_θ(x)/T, y),   p̂ = max_v softmax(z/T*)_v</w:t>
      </w:r>
    </w:p>
    <w:p>
      <w:pPr>
        <w:spacing w:after="160"/>
        <w:jc w:val="center"/>
      </w:pPr>
      <w:r>
        <w:rPr>
          <w:rFonts w:ascii="Times New Roman" w:hAnsi="Times New Roman"/>
          <w:b w:val="0"/>
          <w:i/>
          <w:color w:val="646464"/>
          <w:sz w:val="18"/>
        </w:rPr>
        <w:t>Eq. 5: Optimal temperature T* minimizes NLL on held-out calibration set.</w:t>
      </w:r>
    </w:p>
    <w:p>
      <w:pPr>
        <w:spacing w:after="120" w:before="0"/>
        <w:ind w:firstLine="432"/>
        <w:jc w:val="both"/>
      </w:pPr>
      <w:r>
        <w:rPr>
          <w:rFonts w:ascii="Times New Roman" w:hAnsi="Times New Roman"/>
          <w:b w:val="0"/>
          <w:i w:val="0"/>
          <w:sz w:val="22"/>
        </w:rPr>
        <w:t>Stage 3 — Conformal Prediction (90% coverage guarantee):</w:t>
      </w:r>
    </w:p>
    <w:p>
      <w:pPr>
        <w:spacing w:before="80" w:after="80"/>
        <w:jc w:val="center"/>
      </w:pPr>
      <w:r>
        <w:rPr>
          <w:rFonts w:ascii="Cambria Math" w:hAnsi="Cambria Math"/>
          <w:b w:val="0"/>
          <w:i/>
          <w:color w:val="3C3C8C"/>
          <w:sz w:val="22"/>
        </w:rPr>
        <w:t>q̂ = Quantile_{(1−δ)(1+1/n)} ({1−p̂ᵢ}ᵢ₌₁ⁿ),   C(x) = [p̂−q̂, p̂+q̂]</w:t>
      </w:r>
    </w:p>
    <w:p>
      <w:pPr>
        <w:spacing w:after="160"/>
        <w:jc w:val="center"/>
      </w:pPr>
      <w:r>
        <w:rPr>
          <w:rFonts w:ascii="Times New Roman" w:hAnsi="Times New Roman"/>
          <w:b w:val="0"/>
          <w:i/>
          <w:color w:val="646464"/>
          <w:sz w:val="18"/>
        </w:rPr>
        <w:t>Eq. 6: Conformal interval with Pr[y ∈ C(x)] ≥ 1−δ (marginal coverage guarantee).</w:t>
      </w:r>
    </w:p>
    <w:p>
      <w:pPr>
        <w:spacing w:after="120" w:before="0"/>
        <w:ind w:firstLine="432"/>
        <w:jc w:val="both"/>
      </w:pPr>
      <w:r>
        <w:rPr>
          <w:rFonts w:ascii="Times New Roman" w:hAnsi="Times New Roman"/>
          <w:b w:val="0"/>
          <w:i w:val="0"/>
          <w:sz w:val="22"/>
        </w:rPr>
        <w:t>The four reliability tiers map the full uncertainty profile to actionable decisions for downstream systems:</w:t>
      </w:r>
    </w:p>
    <w:p>
      <w:pPr>
        <w:spacing w:before="160" w:after="80"/>
        <w:jc w:val="center"/>
      </w:pPr>
      <w:r>
        <w:rPr>
          <w:rFonts w:ascii="Times New Roman" w:hAnsi="Times New Roman"/>
          <w:b/>
          <w:i w:val="0"/>
          <w:sz w:val="20"/>
        </w:rPr>
        <w:t>Table 1. PHANTASM UC reliability tiers mapping uncertainty to deployment actions.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296"/>
            <w:shd w:val="clear" w:color="auto" w:fill="1A237E"/>
            <w:vAlign w:val="center"/>
          </w:tcPr>
          <w:p>
            <w:pPr>
              <w:jc w:val="center"/>
            </w:pPr>
            <w:r>
              <w:rPr>
                <w:rFonts w:ascii="Times New Roman" w:hAnsi="Times New Roman"/>
                <w:b/>
                <w:i w:val="0"/>
                <w:color w:val="FFFFFF"/>
                <w:sz w:val="20"/>
              </w:rPr>
              <w:t>Tier</w:t>
            </w:r>
          </w:p>
        </w:tc>
        <w:tc>
          <w:tcPr>
            <w:tcW w:type="dxa" w:w="1008"/>
            <w:shd w:val="clear" w:color="auto" w:fill="1A237E"/>
            <w:vAlign w:val="center"/>
          </w:tcPr>
          <w:p>
            <w:pPr>
              <w:jc w:val="center"/>
            </w:pPr>
            <w:r>
              <w:rPr>
                <w:rFonts w:ascii="Times New Roman" w:hAnsi="Times New Roman"/>
                <w:b/>
                <w:i w:val="0"/>
                <w:color w:val="FFFFFF"/>
                <w:sz w:val="20"/>
              </w:rPr>
              <w:t>Symbol</w:t>
            </w:r>
          </w:p>
        </w:tc>
        <w:tc>
          <w:tcPr>
            <w:tcW w:type="dxa" w:w="3456"/>
            <w:shd w:val="clear" w:color="auto" w:fill="1A237E"/>
            <w:vAlign w:val="center"/>
          </w:tcPr>
          <w:p>
            <w:pPr>
              <w:jc w:val="center"/>
            </w:pPr>
            <w:r>
              <w:rPr>
                <w:rFonts w:ascii="Times New Roman" w:hAnsi="Times New Roman"/>
                <w:b/>
                <w:i w:val="0"/>
                <w:color w:val="FFFFFF"/>
                <w:sz w:val="20"/>
              </w:rPr>
              <w:t>Condition</w:t>
            </w:r>
          </w:p>
        </w:tc>
        <w:tc>
          <w:tcPr>
            <w:tcW w:type="dxa" w:w="3168"/>
            <w:shd w:val="clear" w:color="auto" w:fill="1A237E"/>
            <w:vAlign w:val="center"/>
          </w:tcPr>
          <w:p>
            <w:pPr>
              <w:jc w:val="center"/>
            </w:pPr>
            <w:r>
              <w:rPr>
                <w:rFonts w:ascii="Times New Roman" w:hAnsi="Times New Roman"/>
                <w:b/>
                <w:i w:val="0"/>
                <w:color w:val="FFFFFF"/>
                <w:sz w:val="20"/>
              </w:rPr>
              <w:t>Recommended Action</w:t>
            </w:r>
          </w:p>
        </w:tc>
      </w:tr>
      <w:tr>
        <w:tc>
          <w:tcPr>
            <w:tcW w:type="dxa" w:w="1296"/>
            <w:shd w:val="clear" w:color="auto" w:fill="F3F4FF"/>
            <w:vAlign w:val="center"/>
          </w:tcPr>
          <w:p>
            <w:pPr>
              <w:jc w:val="center"/>
            </w:pPr>
            <w:r>
              <w:rPr>
                <w:rFonts w:ascii="Times New Roman" w:hAnsi="Times New Roman"/>
                <w:b w:val="0"/>
                <w:i w:val="0"/>
                <w:sz w:val="20"/>
              </w:rPr>
              <w:t>Crystal</w:t>
            </w:r>
          </w:p>
        </w:tc>
        <w:tc>
          <w:tcPr>
            <w:tcW w:type="dxa" w:w="1008"/>
            <w:shd w:val="clear" w:color="auto" w:fill="F3F4FF"/>
            <w:vAlign w:val="center"/>
          </w:tcPr>
          <w:p>
            <w:pPr>
              <w:jc w:val="center"/>
            </w:pPr>
            <w:r>
              <w:rPr>
                <w:rFonts w:ascii="Times New Roman" w:hAnsi="Times New Roman"/>
                <w:b w:val="0"/>
                <w:i w:val="0"/>
                <w:sz w:val="20"/>
              </w:rPr>
              <w:t>◆</w:t>
            </w:r>
          </w:p>
        </w:tc>
        <w:tc>
          <w:tcPr>
            <w:tcW w:type="dxa" w:w="3456"/>
            <w:shd w:val="clear" w:color="auto" w:fill="F3F4FF"/>
            <w:vAlign w:val="center"/>
          </w:tcPr>
          <w:p>
            <w:pPr>
              <w:jc w:val="center"/>
            </w:pPr>
            <w:r>
              <w:rPr>
                <w:rFonts w:ascii="Times New Roman" w:hAnsi="Times New Roman"/>
                <w:b w:val="0"/>
                <w:i w:val="0"/>
                <w:sz w:val="20"/>
              </w:rPr>
              <w:t>p̂ ≥ 0.85,  σ²_ep &lt; 0.05</w:t>
            </w:r>
          </w:p>
        </w:tc>
        <w:tc>
          <w:tcPr>
            <w:tcW w:type="dxa" w:w="3168"/>
            <w:shd w:val="clear" w:color="auto" w:fill="F3F4FF"/>
            <w:vAlign w:val="center"/>
          </w:tcPr>
          <w:p>
            <w:pPr>
              <w:jc w:val="center"/>
            </w:pPr>
            <w:r>
              <w:rPr>
                <w:rFonts w:ascii="Times New Roman" w:hAnsi="Times New Roman"/>
                <w:b w:val="0"/>
                <w:i w:val="0"/>
                <w:sz w:val="20"/>
              </w:rPr>
              <w:t>Safe for automated use</w:t>
            </w:r>
          </w:p>
        </w:tc>
      </w:tr>
      <w:tr>
        <w:tc>
          <w:tcPr>
            <w:tcW w:type="dxa" w:w="1296"/>
            <w:vAlign w:val="center"/>
          </w:tcPr>
          <w:p>
            <w:pPr>
              <w:jc w:val="center"/>
            </w:pPr>
            <w:r>
              <w:rPr>
                <w:rFonts w:ascii="Times New Roman" w:hAnsi="Times New Roman"/>
                <w:b w:val="0"/>
                <w:i w:val="0"/>
                <w:sz w:val="20"/>
              </w:rPr>
              <w:t>Solid</w:t>
            </w:r>
          </w:p>
        </w:tc>
        <w:tc>
          <w:tcPr>
            <w:tcW w:type="dxa" w:w="1008"/>
            <w:vAlign w:val="center"/>
          </w:tcPr>
          <w:p>
            <w:pPr>
              <w:jc w:val="center"/>
            </w:pPr>
            <w:r>
              <w:rPr>
                <w:rFonts w:ascii="Times New Roman" w:hAnsi="Times New Roman"/>
                <w:b w:val="0"/>
                <w:i w:val="0"/>
                <w:sz w:val="20"/>
              </w:rPr>
              <w:t>◇</w:t>
            </w:r>
          </w:p>
        </w:tc>
        <w:tc>
          <w:tcPr>
            <w:tcW w:type="dxa" w:w="3456"/>
            <w:vAlign w:val="center"/>
          </w:tcPr>
          <w:p>
            <w:pPr>
              <w:jc w:val="center"/>
            </w:pPr>
            <w:r>
              <w:rPr>
                <w:rFonts w:ascii="Times New Roman" w:hAnsi="Times New Roman"/>
                <w:b w:val="0"/>
                <w:i w:val="0"/>
                <w:sz w:val="20"/>
              </w:rPr>
              <w:t>p̂ ≥ 0.65,  σ²_ep &lt; 0.15</w:t>
            </w:r>
          </w:p>
        </w:tc>
        <w:tc>
          <w:tcPr>
            <w:tcW w:type="dxa" w:w="3168"/>
            <w:vAlign w:val="center"/>
          </w:tcPr>
          <w:p>
            <w:pPr>
              <w:jc w:val="center"/>
            </w:pPr>
            <w:r>
              <w:rPr>
                <w:rFonts w:ascii="Times New Roman" w:hAnsi="Times New Roman"/>
                <w:b w:val="0"/>
                <w:i w:val="0"/>
                <w:sz w:val="20"/>
              </w:rPr>
              <w:t>Light human verification</w:t>
            </w:r>
          </w:p>
        </w:tc>
      </w:tr>
      <w:tr>
        <w:tc>
          <w:tcPr>
            <w:tcW w:type="dxa" w:w="1296"/>
            <w:shd w:val="clear" w:color="auto" w:fill="F3F4FF"/>
            <w:vAlign w:val="center"/>
          </w:tcPr>
          <w:p>
            <w:pPr>
              <w:jc w:val="center"/>
            </w:pPr>
            <w:r>
              <w:rPr>
                <w:rFonts w:ascii="Times New Roman" w:hAnsi="Times New Roman"/>
                <w:b w:val="0"/>
                <w:i w:val="0"/>
                <w:sz w:val="20"/>
              </w:rPr>
              <w:t>Fluid</w:t>
            </w:r>
          </w:p>
        </w:tc>
        <w:tc>
          <w:tcPr>
            <w:tcW w:type="dxa" w:w="1008"/>
            <w:shd w:val="clear" w:color="auto" w:fill="F3F4FF"/>
            <w:vAlign w:val="center"/>
          </w:tcPr>
          <w:p>
            <w:pPr>
              <w:jc w:val="center"/>
            </w:pPr>
            <w:r>
              <w:rPr>
                <w:rFonts w:ascii="Times New Roman" w:hAnsi="Times New Roman"/>
                <w:b w:val="0"/>
                <w:i w:val="0"/>
                <w:sz w:val="20"/>
              </w:rPr>
              <w:t>≈</w:t>
            </w:r>
          </w:p>
        </w:tc>
        <w:tc>
          <w:tcPr>
            <w:tcW w:type="dxa" w:w="3456"/>
            <w:shd w:val="clear" w:color="auto" w:fill="F3F4FF"/>
            <w:vAlign w:val="center"/>
          </w:tcPr>
          <w:p>
            <w:pPr>
              <w:jc w:val="center"/>
            </w:pPr>
            <w:r>
              <w:rPr>
                <w:rFonts w:ascii="Times New Roman" w:hAnsi="Times New Roman"/>
                <w:b w:val="0"/>
                <w:i w:val="0"/>
                <w:sz w:val="20"/>
              </w:rPr>
              <w:t>p̂ ≥ 0.40,  σ²_ep &lt; 0.35</w:t>
            </w:r>
          </w:p>
        </w:tc>
        <w:tc>
          <w:tcPr>
            <w:tcW w:type="dxa" w:w="3168"/>
            <w:shd w:val="clear" w:color="auto" w:fill="F3F4FF"/>
            <w:vAlign w:val="center"/>
          </w:tcPr>
          <w:p>
            <w:pPr>
              <w:jc w:val="center"/>
            </w:pPr>
            <w:r>
              <w:rPr>
                <w:rFonts w:ascii="Times New Roman" w:hAnsi="Times New Roman"/>
                <w:b w:val="0"/>
                <w:i w:val="0"/>
                <w:sz w:val="20"/>
              </w:rPr>
              <w:t>Mandatory verification</w:t>
            </w:r>
          </w:p>
        </w:tc>
      </w:tr>
      <w:tr>
        <w:tc>
          <w:tcPr>
            <w:tcW w:type="dxa" w:w="1296"/>
            <w:vAlign w:val="center"/>
          </w:tcPr>
          <w:p>
            <w:pPr>
              <w:jc w:val="center"/>
            </w:pPr>
            <w:r>
              <w:rPr>
                <w:rFonts w:ascii="Times New Roman" w:hAnsi="Times New Roman"/>
                <w:b w:val="0"/>
                <w:i w:val="0"/>
                <w:sz w:val="20"/>
              </w:rPr>
              <w:t>Vapor</w:t>
            </w:r>
          </w:p>
        </w:tc>
        <w:tc>
          <w:tcPr>
            <w:tcW w:type="dxa" w:w="1008"/>
            <w:vAlign w:val="center"/>
          </w:tcPr>
          <w:p>
            <w:pPr>
              <w:jc w:val="center"/>
            </w:pPr>
            <w:r>
              <w:rPr>
                <w:rFonts w:ascii="Times New Roman" w:hAnsi="Times New Roman"/>
                <w:b w:val="0"/>
                <w:i w:val="0"/>
                <w:sz w:val="20"/>
              </w:rPr>
              <w:t>~</w:t>
            </w:r>
          </w:p>
        </w:tc>
        <w:tc>
          <w:tcPr>
            <w:tcW w:type="dxa" w:w="3456"/>
            <w:vAlign w:val="center"/>
          </w:tcPr>
          <w:p>
            <w:pPr>
              <w:jc w:val="center"/>
            </w:pPr>
            <w:r>
              <w:rPr>
                <w:rFonts w:ascii="Times New Roman" w:hAnsi="Times New Roman"/>
                <w:b w:val="0"/>
                <w:i w:val="0"/>
                <w:sz w:val="20"/>
              </w:rPr>
              <w:t>otherwise</w:t>
            </w:r>
          </w:p>
        </w:tc>
        <w:tc>
          <w:tcPr>
            <w:tcW w:type="dxa" w:w="3168"/>
            <w:vAlign w:val="center"/>
          </w:tcPr>
          <w:p>
            <w:pPr>
              <w:jc w:val="center"/>
            </w:pPr>
            <w:r>
              <w:rPr>
                <w:rFonts w:ascii="Times New Roman" w:hAnsi="Times New Roman"/>
                <w:b w:val="0"/>
                <w:i w:val="0"/>
                <w:sz w:val="20"/>
              </w:rPr>
              <w:t>Block automated use</w:t>
            </w:r>
          </w:p>
        </w:tc>
      </w:tr>
    </w:tbl>
    <w:p>
      <w:pPr>
        <w:spacing w:after="160"/>
      </w:pPr>
    </w:p>
    <w:p>
      <w:pPr>
        <w:spacing w:before="280" w:after="80"/>
      </w:pPr>
      <w:r>
        <w:rPr>
          <w:rFonts w:ascii="Times New Roman" w:hAnsi="Times New Roman"/>
          <w:b/>
          <w:i w:val="0"/>
          <w:color w:val="1A237E"/>
          <w:sz w:val="26"/>
        </w:rPr>
        <w:t>4.  Experiments</w:t>
      </w:r>
    </w:p>
    <w:p>
      <w:pPr>
        <w:spacing w:before="160" w:after="80"/>
      </w:pPr>
      <w:r>
        <w:rPr>
          <w:rFonts w:ascii="Times New Roman" w:hAnsi="Times New Roman"/>
          <w:b/>
          <w:i w:val="0"/>
          <w:color w:val="283593"/>
          <w:sz w:val="22"/>
        </w:rPr>
        <w:t>4.1  Experimental Setup</w:t>
      </w:r>
    </w:p>
    <w:p>
      <w:pPr>
        <w:spacing w:after="120" w:before="0"/>
        <w:ind w:firstLine="432"/>
        <w:jc w:val="both"/>
      </w:pPr>
      <w:r>
        <w:rPr>
          <w:rFonts w:ascii="Times New Roman" w:hAnsi="Times New Roman"/>
          <w:b w:val="0"/>
          <w:i w:val="0"/>
          <w:sz w:val="22"/>
        </w:rPr>
        <w:t>Datasets. We evaluate on two public hallucination benchmarks: (1) potsawee/wiki_bio_gpt3_hallucination — 7,830 sentence-level GPT-3 Wikipedia biography hallucination annotations; (2) vectara/hallucinated-faithfulness-benchmark (Vectara HFB) — 1,000 passage-level faithfulness annotations. For UC calibration we use 1,000-sample held-out splits from both datasets. For CMN hypothesis quality we evaluate 200 drug-discovery hypotheses rated by a chemistry PhD student on novelty and plausibility.</w:t>
      </w:r>
    </w:p>
    <w:p>
      <w:pPr>
        <w:spacing w:after="120" w:before="0"/>
        <w:ind w:firstLine="432"/>
        <w:jc w:val="both"/>
      </w:pPr>
      <w:r>
        <w:rPr>
          <w:rFonts w:ascii="Times New Roman" w:hAnsi="Times New Roman"/>
          <w:b w:val="0"/>
          <w:i w:val="0"/>
          <w:sz w:val="22"/>
        </w:rPr>
        <w:t>Backbone models. All experiments use GPT-2 [Radford et al., 2019] (124M parameters) and LLaMA-7B [Touvron et al., 2023] as backbone models. Both are loaded from HuggingFace Hub in full precision (float32) on CPU; no quantization is applied to ensure reproducibility.</w:t>
      </w:r>
    </w:p>
    <w:p>
      <w:pPr>
        <w:spacing w:after="120" w:before="0"/>
        <w:ind w:firstLine="432"/>
        <w:jc w:val="both"/>
      </w:pPr>
      <w:r>
        <w:rPr>
          <w:rFonts w:ascii="Times New Roman" w:hAnsi="Times New Roman"/>
          <w:b w:val="0"/>
          <w:i w:val="0"/>
          <w:sz w:val="22"/>
        </w:rPr>
        <w:t>Baselines. For HGT: SAPLMA [Azaria &amp; Mitchell, 2023] and SelfCheckGPT-BERTScore [Manakul et al., 2023]. For UC: uncalibrated baseline and temperature scaling [Guo et al., 2017]. For CMN: standard filtered LLM output and RAG-augmented generation. All baselines use publicly released implementations.</w:t>
      </w:r>
    </w:p>
    <w:p>
      <w:pPr>
        <w:spacing w:before="160" w:after="80"/>
      </w:pPr>
      <w:r>
        <w:rPr>
          <w:rFonts w:ascii="Times New Roman" w:hAnsi="Times New Roman"/>
          <w:b/>
          <w:i w:val="0"/>
          <w:color w:val="283593"/>
          <w:sz w:val="22"/>
        </w:rPr>
        <w:t>4.2  HGT: Hallucination Detection Results</w:t>
      </w:r>
    </w:p>
    <w:p>
      <w:pPr>
        <w:spacing w:before="160" w:after="80"/>
        <w:jc w:val="center"/>
      </w:pPr>
      <w:r>
        <w:rPr>
          <w:rFonts w:ascii="Times New Roman" w:hAnsi="Times New Roman"/>
          <w:b/>
          <w:i w:val="0"/>
          <w:sz w:val="20"/>
        </w:rPr>
        <w:t>Table 2. HGT hallucination detection results. Bold = best per model-dataset pair.</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440"/>
            <w:shd w:val="clear" w:color="auto" w:fill="1A237E"/>
            <w:vAlign w:val="center"/>
          </w:tcPr>
          <w:p>
            <w:pPr>
              <w:jc w:val="center"/>
            </w:pPr>
            <w:r>
              <w:rPr>
                <w:rFonts w:ascii="Times New Roman" w:hAnsi="Times New Roman"/>
                <w:b/>
                <w:i w:val="0"/>
                <w:color w:val="FFFFFF"/>
                <w:sz w:val="20"/>
              </w:rPr>
              <w:t>Model</w:t>
            </w:r>
          </w:p>
        </w:tc>
        <w:tc>
          <w:tcPr>
            <w:tcW w:type="dxa" w:w="1728"/>
            <w:shd w:val="clear" w:color="auto" w:fill="1A237E"/>
            <w:vAlign w:val="center"/>
          </w:tcPr>
          <w:p>
            <w:pPr>
              <w:jc w:val="center"/>
            </w:pPr>
            <w:r>
              <w:rPr>
                <w:rFonts w:ascii="Times New Roman" w:hAnsi="Times New Roman"/>
                <w:b/>
                <w:i w:val="0"/>
                <w:color w:val="FFFFFF"/>
                <w:sz w:val="20"/>
              </w:rPr>
              <w:t>Dataset</w:t>
            </w:r>
          </w:p>
        </w:tc>
        <w:tc>
          <w:tcPr>
            <w:tcW w:type="dxa" w:w="1872"/>
            <w:shd w:val="clear" w:color="auto" w:fill="1A237E"/>
            <w:vAlign w:val="center"/>
          </w:tcPr>
          <w:p>
            <w:pPr>
              <w:jc w:val="center"/>
            </w:pPr>
            <w:r>
              <w:rPr>
                <w:rFonts w:ascii="Times New Roman" w:hAnsi="Times New Roman"/>
                <w:b/>
                <w:i w:val="0"/>
                <w:color w:val="FFFFFF"/>
                <w:sz w:val="20"/>
              </w:rPr>
              <w:t>Method</w:t>
            </w:r>
          </w:p>
        </w:tc>
        <w:tc>
          <w:tcPr>
            <w:tcW w:type="dxa" w:w="1224"/>
            <w:shd w:val="clear" w:color="auto" w:fill="1A237E"/>
            <w:vAlign w:val="center"/>
          </w:tcPr>
          <w:p>
            <w:pPr>
              <w:jc w:val="center"/>
            </w:pPr>
            <w:r>
              <w:rPr>
                <w:rFonts w:ascii="Times New Roman" w:hAnsi="Times New Roman"/>
                <w:b/>
                <w:i w:val="0"/>
                <w:color w:val="FFFFFF"/>
                <w:sz w:val="20"/>
              </w:rPr>
              <w:t>AUROC ↑</w:t>
            </w:r>
          </w:p>
        </w:tc>
        <w:tc>
          <w:tcPr>
            <w:tcW w:type="dxa" w:w="1008"/>
            <w:shd w:val="clear" w:color="auto" w:fill="1A237E"/>
            <w:vAlign w:val="center"/>
          </w:tcPr>
          <w:p>
            <w:pPr>
              <w:jc w:val="center"/>
            </w:pPr>
            <w:r>
              <w:rPr>
                <w:rFonts w:ascii="Times New Roman" w:hAnsi="Times New Roman"/>
                <w:b/>
                <w:i w:val="0"/>
                <w:color w:val="FFFFFF"/>
                <w:sz w:val="20"/>
              </w:rPr>
              <w:t>F1 ↑</w:t>
            </w:r>
          </w:p>
        </w:tc>
        <w:tc>
          <w:tcPr>
            <w:tcW w:type="dxa" w:w="1368"/>
            <w:shd w:val="clear" w:color="auto" w:fill="1A237E"/>
            <w:vAlign w:val="center"/>
          </w:tcPr>
          <w:p>
            <w:pPr>
              <w:jc w:val="center"/>
            </w:pPr>
            <w:r>
              <w:rPr>
                <w:rFonts w:ascii="Times New Roman" w:hAnsi="Times New Roman"/>
                <w:b/>
                <w:i w:val="0"/>
                <w:color w:val="FFFFFF"/>
                <w:sz w:val="20"/>
              </w:rPr>
              <w:t>Precision ↑</w:t>
            </w:r>
          </w:p>
        </w:tc>
        <w:tc>
          <w:tcPr>
            <w:tcW w:type="dxa" w:w="1224"/>
            <w:shd w:val="clear" w:color="auto" w:fill="1A237E"/>
            <w:vAlign w:val="center"/>
          </w:tcPr>
          <w:p>
            <w:pPr>
              <w:jc w:val="center"/>
            </w:pPr>
            <w:r>
              <w:rPr>
                <w:rFonts w:ascii="Times New Roman" w:hAnsi="Times New Roman"/>
                <w:b/>
                <w:i w:val="0"/>
                <w:color w:val="FFFFFF"/>
                <w:sz w:val="20"/>
              </w:rPr>
              <w:t>Recall ↑</w:t>
            </w:r>
          </w:p>
        </w:tc>
      </w:tr>
      <w:tr>
        <w:tc>
          <w:tcPr>
            <w:tcW w:type="dxa" w:w="1440"/>
            <w:shd w:val="clear" w:color="auto" w:fill="F3F4FF"/>
            <w:vAlign w:val="center"/>
          </w:tcPr>
          <w:p>
            <w:pPr>
              <w:jc w:val="center"/>
            </w:pPr>
            <w:r>
              <w:rPr>
                <w:rFonts w:ascii="Times New Roman" w:hAnsi="Times New Roman"/>
                <w:b w:val="0"/>
                <w:i w:val="0"/>
                <w:sz w:val="20"/>
              </w:rPr>
              <w:t>GPT-2</w:t>
            </w:r>
          </w:p>
        </w:tc>
        <w:tc>
          <w:tcPr>
            <w:tcW w:type="dxa" w:w="1728"/>
            <w:shd w:val="clear" w:color="auto" w:fill="F3F4FF"/>
            <w:vAlign w:val="center"/>
          </w:tcPr>
          <w:p>
            <w:pPr>
              <w:jc w:val="center"/>
            </w:pPr>
            <w:r>
              <w:rPr>
                <w:rFonts w:ascii="Times New Roman" w:hAnsi="Times New Roman"/>
                <w:b w:val="0"/>
                <w:i w:val="0"/>
                <w:sz w:val="20"/>
              </w:rPr>
              <w:t>Wiki Bio</w:t>
            </w:r>
          </w:p>
        </w:tc>
        <w:tc>
          <w:tcPr>
            <w:tcW w:type="dxa" w:w="1872"/>
            <w:shd w:val="clear" w:color="auto" w:fill="F3F4FF"/>
            <w:vAlign w:val="center"/>
          </w:tcPr>
          <w:p>
            <w:pPr>
              <w:jc w:val="center"/>
            </w:pPr>
            <w:r>
              <w:rPr>
                <w:rFonts w:ascii="Times New Roman" w:hAnsi="Times New Roman"/>
                <w:b w:val="0"/>
                <w:i w:val="0"/>
                <w:sz w:val="20"/>
              </w:rPr>
              <w:t>SAPLMA</w:t>
            </w:r>
          </w:p>
        </w:tc>
        <w:tc>
          <w:tcPr>
            <w:tcW w:type="dxa" w:w="1224"/>
            <w:shd w:val="clear" w:color="auto" w:fill="F3F4FF"/>
            <w:vAlign w:val="center"/>
          </w:tcPr>
          <w:p>
            <w:pPr>
              <w:jc w:val="center"/>
            </w:pPr>
            <w:r>
              <w:rPr>
                <w:rFonts w:ascii="Times New Roman" w:hAnsi="Times New Roman"/>
                <w:b w:val="0"/>
                <w:i w:val="0"/>
                <w:sz w:val="20"/>
              </w:rPr>
              <w:t>0.71</w:t>
            </w:r>
          </w:p>
        </w:tc>
        <w:tc>
          <w:tcPr>
            <w:tcW w:type="dxa" w:w="1008"/>
            <w:shd w:val="clear" w:color="auto" w:fill="F3F4FF"/>
            <w:vAlign w:val="center"/>
          </w:tcPr>
          <w:p>
            <w:pPr>
              <w:jc w:val="center"/>
            </w:pPr>
            <w:r>
              <w:rPr>
                <w:rFonts w:ascii="Times New Roman" w:hAnsi="Times New Roman"/>
                <w:b w:val="0"/>
                <w:i w:val="0"/>
                <w:sz w:val="20"/>
              </w:rPr>
              <w:t>0.68</w:t>
            </w:r>
          </w:p>
        </w:tc>
        <w:tc>
          <w:tcPr>
            <w:tcW w:type="dxa" w:w="1368"/>
            <w:shd w:val="clear" w:color="auto" w:fill="F3F4FF"/>
            <w:vAlign w:val="center"/>
          </w:tcPr>
          <w:p>
            <w:pPr>
              <w:jc w:val="center"/>
            </w:pPr>
            <w:r>
              <w:rPr>
                <w:rFonts w:ascii="Times New Roman" w:hAnsi="Times New Roman"/>
                <w:b w:val="0"/>
                <w:i w:val="0"/>
                <w:sz w:val="20"/>
              </w:rPr>
              <w:t>0.72</w:t>
            </w:r>
          </w:p>
        </w:tc>
        <w:tc>
          <w:tcPr>
            <w:tcW w:type="dxa" w:w="1224"/>
            <w:shd w:val="clear" w:color="auto" w:fill="F3F4FF"/>
            <w:vAlign w:val="center"/>
          </w:tcPr>
          <w:p>
            <w:pPr>
              <w:jc w:val="center"/>
            </w:pPr>
            <w:r>
              <w:rPr>
                <w:rFonts w:ascii="Times New Roman" w:hAnsi="Times New Roman"/>
                <w:b w:val="0"/>
                <w:i w:val="0"/>
                <w:sz w:val="20"/>
              </w:rPr>
              <w:t>0.65</w:t>
            </w:r>
          </w:p>
        </w:tc>
      </w:tr>
      <w:tr>
        <w:tc>
          <w:tcPr>
            <w:tcW w:type="dxa" w:w="1440"/>
            <w:vAlign w:val="center"/>
          </w:tcPr>
          <w:p>
            <w:pPr>
              <w:jc w:val="center"/>
            </w:pPr>
            <w:r>
              <w:rPr>
                <w:rFonts w:ascii="Times New Roman" w:hAnsi="Times New Roman"/>
                <w:b w:val="0"/>
                <w:i w:val="0"/>
                <w:sz w:val="20"/>
              </w:rPr>
              <w:t>GPT-2</w:t>
            </w:r>
          </w:p>
        </w:tc>
        <w:tc>
          <w:tcPr>
            <w:tcW w:type="dxa" w:w="1728"/>
            <w:vAlign w:val="center"/>
          </w:tcPr>
          <w:p>
            <w:pPr>
              <w:jc w:val="center"/>
            </w:pPr>
            <w:r>
              <w:rPr>
                <w:rFonts w:ascii="Times New Roman" w:hAnsi="Times New Roman"/>
                <w:b w:val="0"/>
                <w:i w:val="0"/>
                <w:sz w:val="20"/>
              </w:rPr>
              <w:t>Wiki Bio</w:t>
            </w:r>
          </w:p>
        </w:tc>
        <w:tc>
          <w:tcPr>
            <w:tcW w:type="dxa" w:w="1872"/>
            <w:vAlign w:val="center"/>
          </w:tcPr>
          <w:p>
            <w:pPr>
              <w:jc w:val="center"/>
            </w:pPr>
            <w:r>
              <w:rPr>
                <w:rFonts w:ascii="Times New Roman" w:hAnsi="Times New Roman"/>
                <w:b w:val="0"/>
                <w:i w:val="0"/>
                <w:sz w:val="20"/>
              </w:rPr>
              <w:t>SelfCheckGPT</w:t>
            </w:r>
          </w:p>
        </w:tc>
        <w:tc>
          <w:tcPr>
            <w:tcW w:type="dxa" w:w="1224"/>
            <w:vAlign w:val="center"/>
          </w:tcPr>
          <w:p>
            <w:pPr>
              <w:jc w:val="center"/>
            </w:pPr>
            <w:r>
              <w:rPr>
                <w:rFonts w:ascii="Times New Roman" w:hAnsi="Times New Roman"/>
                <w:b w:val="0"/>
                <w:i w:val="0"/>
                <w:sz w:val="20"/>
              </w:rPr>
              <w:t>0.74</w:t>
            </w:r>
          </w:p>
        </w:tc>
        <w:tc>
          <w:tcPr>
            <w:tcW w:type="dxa" w:w="1008"/>
            <w:vAlign w:val="center"/>
          </w:tcPr>
          <w:p>
            <w:pPr>
              <w:jc w:val="center"/>
            </w:pPr>
            <w:r>
              <w:rPr>
                <w:rFonts w:ascii="Times New Roman" w:hAnsi="Times New Roman"/>
                <w:b w:val="0"/>
                <w:i w:val="0"/>
                <w:sz w:val="20"/>
              </w:rPr>
              <w:t>0.70</w:t>
            </w:r>
          </w:p>
        </w:tc>
        <w:tc>
          <w:tcPr>
            <w:tcW w:type="dxa" w:w="1368"/>
            <w:vAlign w:val="center"/>
          </w:tcPr>
          <w:p>
            <w:pPr>
              <w:jc w:val="center"/>
            </w:pPr>
            <w:r>
              <w:rPr>
                <w:rFonts w:ascii="Times New Roman" w:hAnsi="Times New Roman"/>
                <w:b w:val="0"/>
                <w:i w:val="0"/>
                <w:sz w:val="20"/>
              </w:rPr>
              <w:t>0.75</w:t>
            </w:r>
          </w:p>
        </w:tc>
        <w:tc>
          <w:tcPr>
            <w:tcW w:type="dxa" w:w="1224"/>
            <w:vAlign w:val="center"/>
          </w:tcPr>
          <w:p>
            <w:pPr>
              <w:jc w:val="center"/>
            </w:pPr>
            <w:r>
              <w:rPr>
                <w:rFonts w:ascii="Times New Roman" w:hAnsi="Times New Roman"/>
                <w:b w:val="0"/>
                <w:i w:val="0"/>
                <w:sz w:val="20"/>
              </w:rPr>
              <w:t>0.66</w:t>
            </w:r>
          </w:p>
        </w:tc>
      </w:tr>
      <w:tr>
        <w:tc>
          <w:tcPr>
            <w:tcW w:type="dxa" w:w="1440"/>
            <w:shd w:val="clear" w:color="auto" w:fill="F3F4FF"/>
            <w:vAlign w:val="center"/>
          </w:tcPr>
          <w:p>
            <w:pPr>
              <w:jc w:val="center"/>
            </w:pPr>
            <w:r>
              <w:rPr>
                <w:rFonts w:ascii="Times New Roman" w:hAnsi="Times New Roman"/>
                <w:b w:val="0"/>
                <w:i w:val="0"/>
                <w:sz w:val="20"/>
              </w:rPr>
              <w:t>GPT-2</w:t>
            </w:r>
          </w:p>
        </w:tc>
        <w:tc>
          <w:tcPr>
            <w:tcW w:type="dxa" w:w="1728"/>
            <w:shd w:val="clear" w:color="auto" w:fill="F3F4FF"/>
            <w:vAlign w:val="center"/>
          </w:tcPr>
          <w:p>
            <w:pPr>
              <w:jc w:val="center"/>
            </w:pPr>
            <w:r>
              <w:rPr>
                <w:rFonts w:ascii="Times New Roman" w:hAnsi="Times New Roman"/>
                <w:b w:val="0"/>
                <w:i w:val="0"/>
                <w:sz w:val="20"/>
              </w:rPr>
              <w:t>Wiki Bio</w:t>
            </w:r>
          </w:p>
        </w:tc>
        <w:tc>
          <w:tcPr>
            <w:tcW w:type="dxa" w:w="1872"/>
            <w:shd w:val="clear" w:color="auto" w:fill="F3F4FF"/>
            <w:vAlign w:val="center"/>
          </w:tcPr>
          <w:p>
            <w:pPr>
              <w:jc w:val="center"/>
            </w:pPr>
            <w:r>
              <w:rPr>
                <w:rFonts w:ascii="Times New Roman" w:hAnsi="Times New Roman"/>
                <w:b/>
                <w:i w:val="0"/>
                <w:sz w:val="20"/>
              </w:rPr>
              <w:t>HGT (ours)</w:t>
            </w:r>
          </w:p>
        </w:tc>
        <w:tc>
          <w:tcPr>
            <w:tcW w:type="dxa" w:w="1224"/>
            <w:shd w:val="clear" w:color="auto" w:fill="F3F4FF"/>
            <w:vAlign w:val="center"/>
          </w:tcPr>
          <w:p>
            <w:pPr>
              <w:jc w:val="center"/>
            </w:pPr>
            <w:r>
              <w:rPr>
                <w:rFonts w:ascii="Times New Roman" w:hAnsi="Times New Roman"/>
                <w:b/>
                <w:i w:val="0"/>
                <w:sz w:val="20"/>
              </w:rPr>
              <w:t>0.79</w:t>
            </w:r>
          </w:p>
        </w:tc>
        <w:tc>
          <w:tcPr>
            <w:tcW w:type="dxa" w:w="1008"/>
            <w:shd w:val="clear" w:color="auto" w:fill="F3F4FF"/>
            <w:vAlign w:val="center"/>
          </w:tcPr>
          <w:p>
            <w:pPr>
              <w:jc w:val="center"/>
            </w:pPr>
            <w:r>
              <w:rPr>
                <w:rFonts w:ascii="Times New Roman" w:hAnsi="Times New Roman"/>
                <w:b/>
                <w:i w:val="0"/>
                <w:sz w:val="20"/>
              </w:rPr>
              <w:t>0.76</w:t>
            </w:r>
          </w:p>
        </w:tc>
        <w:tc>
          <w:tcPr>
            <w:tcW w:type="dxa" w:w="1368"/>
            <w:shd w:val="clear" w:color="auto" w:fill="F3F4FF"/>
            <w:vAlign w:val="center"/>
          </w:tcPr>
          <w:p>
            <w:pPr>
              <w:jc w:val="center"/>
            </w:pPr>
            <w:r>
              <w:rPr>
                <w:rFonts w:ascii="Times New Roman" w:hAnsi="Times New Roman"/>
                <w:b/>
                <w:i w:val="0"/>
                <w:sz w:val="20"/>
              </w:rPr>
              <w:t>0.80</w:t>
            </w:r>
          </w:p>
        </w:tc>
        <w:tc>
          <w:tcPr>
            <w:tcW w:type="dxa" w:w="1224"/>
            <w:shd w:val="clear" w:color="auto" w:fill="F3F4FF"/>
            <w:vAlign w:val="center"/>
          </w:tcPr>
          <w:p>
            <w:pPr>
              <w:jc w:val="center"/>
            </w:pPr>
            <w:r>
              <w:rPr>
                <w:rFonts w:ascii="Times New Roman" w:hAnsi="Times New Roman"/>
                <w:b/>
                <w:i w:val="0"/>
                <w:sz w:val="20"/>
              </w:rPr>
              <w:t>0.72</w:t>
            </w:r>
          </w:p>
        </w:tc>
      </w:tr>
      <w:tr>
        <w:tc>
          <w:tcPr>
            <w:tcW w:type="dxa" w:w="1440"/>
            <w:vAlign w:val="center"/>
          </w:tcPr>
          <w:p>
            <w:pPr>
              <w:jc w:val="center"/>
            </w:pPr>
            <w:r>
              <w:rPr>
                <w:rFonts w:ascii="Times New Roman" w:hAnsi="Times New Roman"/>
                <w:b w:val="0"/>
                <w:i w:val="0"/>
                <w:sz w:val="20"/>
              </w:rPr>
              <w:t>LLaMA-7B</w:t>
            </w:r>
          </w:p>
        </w:tc>
        <w:tc>
          <w:tcPr>
            <w:tcW w:type="dxa" w:w="1728"/>
            <w:vAlign w:val="center"/>
          </w:tcPr>
          <w:p>
            <w:pPr>
              <w:jc w:val="center"/>
            </w:pPr>
            <w:r>
              <w:rPr>
                <w:rFonts w:ascii="Times New Roman" w:hAnsi="Times New Roman"/>
                <w:b w:val="0"/>
                <w:i w:val="0"/>
                <w:sz w:val="20"/>
              </w:rPr>
              <w:t>Vectara HFB</w:t>
            </w:r>
          </w:p>
        </w:tc>
        <w:tc>
          <w:tcPr>
            <w:tcW w:type="dxa" w:w="1872"/>
            <w:vAlign w:val="center"/>
          </w:tcPr>
          <w:p>
            <w:pPr>
              <w:jc w:val="center"/>
            </w:pPr>
            <w:r>
              <w:rPr>
                <w:rFonts w:ascii="Times New Roman" w:hAnsi="Times New Roman"/>
                <w:b w:val="0"/>
                <w:i w:val="0"/>
                <w:sz w:val="20"/>
              </w:rPr>
              <w:t>SelfCheckGPT</w:t>
            </w:r>
          </w:p>
        </w:tc>
        <w:tc>
          <w:tcPr>
            <w:tcW w:type="dxa" w:w="1224"/>
            <w:vAlign w:val="center"/>
          </w:tcPr>
          <w:p>
            <w:pPr>
              <w:jc w:val="center"/>
            </w:pPr>
            <w:r>
              <w:rPr>
                <w:rFonts w:ascii="Times New Roman" w:hAnsi="Times New Roman"/>
                <w:b w:val="0"/>
                <w:i w:val="0"/>
                <w:sz w:val="20"/>
              </w:rPr>
              <w:t>0.75</w:t>
            </w:r>
          </w:p>
        </w:tc>
        <w:tc>
          <w:tcPr>
            <w:tcW w:type="dxa" w:w="1008"/>
            <w:vAlign w:val="center"/>
          </w:tcPr>
          <w:p>
            <w:pPr>
              <w:jc w:val="center"/>
            </w:pPr>
            <w:r>
              <w:rPr>
                <w:rFonts w:ascii="Times New Roman" w:hAnsi="Times New Roman"/>
                <w:b w:val="0"/>
                <w:i w:val="0"/>
                <w:sz w:val="20"/>
              </w:rPr>
              <w:t>0.72</w:t>
            </w:r>
          </w:p>
        </w:tc>
        <w:tc>
          <w:tcPr>
            <w:tcW w:type="dxa" w:w="1368"/>
            <w:vAlign w:val="center"/>
          </w:tcPr>
          <w:p>
            <w:pPr>
              <w:jc w:val="center"/>
            </w:pPr>
            <w:r>
              <w:rPr>
                <w:rFonts w:ascii="Times New Roman" w:hAnsi="Times New Roman"/>
                <w:b w:val="0"/>
                <w:i w:val="0"/>
                <w:sz w:val="20"/>
              </w:rPr>
              <w:t>0.76</w:t>
            </w:r>
          </w:p>
        </w:tc>
        <w:tc>
          <w:tcPr>
            <w:tcW w:type="dxa" w:w="1224"/>
            <w:vAlign w:val="center"/>
          </w:tcPr>
          <w:p>
            <w:pPr>
              <w:jc w:val="center"/>
            </w:pPr>
            <w:r>
              <w:rPr>
                <w:rFonts w:ascii="Times New Roman" w:hAnsi="Times New Roman"/>
                <w:b w:val="0"/>
                <w:i w:val="0"/>
                <w:sz w:val="20"/>
              </w:rPr>
              <w:t>0.68</w:t>
            </w:r>
          </w:p>
        </w:tc>
      </w:tr>
      <w:tr>
        <w:tc>
          <w:tcPr>
            <w:tcW w:type="dxa" w:w="1440"/>
            <w:shd w:val="clear" w:color="auto" w:fill="F3F4FF"/>
            <w:vAlign w:val="center"/>
          </w:tcPr>
          <w:p>
            <w:pPr>
              <w:jc w:val="center"/>
            </w:pPr>
            <w:r>
              <w:rPr>
                <w:rFonts w:ascii="Times New Roman" w:hAnsi="Times New Roman"/>
                <w:b w:val="0"/>
                <w:i w:val="0"/>
                <w:sz w:val="20"/>
              </w:rPr>
              <w:t>LLaMA-7B</w:t>
            </w:r>
          </w:p>
        </w:tc>
        <w:tc>
          <w:tcPr>
            <w:tcW w:type="dxa" w:w="1728"/>
            <w:shd w:val="clear" w:color="auto" w:fill="F3F4FF"/>
            <w:vAlign w:val="center"/>
          </w:tcPr>
          <w:p>
            <w:pPr>
              <w:jc w:val="center"/>
            </w:pPr>
            <w:r>
              <w:rPr>
                <w:rFonts w:ascii="Times New Roman" w:hAnsi="Times New Roman"/>
                <w:b w:val="0"/>
                <w:i w:val="0"/>
                <w:sz w:val="20"/>
              </w:rPr>
              <w:t>Vectara HFB</w:t>
            </w:r>
          </w:p>
        </w:tc>
        <w:tc>
          <w:tcPr>
            <w:tcW w:type="dxa" w:w="1872"/>
            <w:shd w:val="clear" w:color="auto" w:fill="F3F4FF"/>
            <w:vAlign w:val="center"/>
          </w:tcPr>
          <w:p>
            <w:pPr>
              <w:jc w:val="center"/>
            </w:pPr>
            <w:r>
              <w:rPr>
                <w:rFonts w:ascii="Times New Roman" w:hAnsi="Times New Roman"/>
                <w:b w:val="0"/>
                <w:i w:val="0"/>
                <w:sz w:val="20"/>
              </w:rPr>
              <w:t>Fact-checker</w:t>
            </w:r>
          </w:p>
        </w:tc>
        <w:tc>
          <w:tcPr>
            <w:tcW w:type="dxa" w:w="1224"/>
            <w:shd w:val="clear" w:color="auto" w:fill="F3F4FF"/>
            <w:vAlign w:val="center"/>
          </w:tcPr>
          <w:p>
            <w:pPr>
              <w:jc w:val="center"/>
            </w:pPr>
            <w:r>
              <w:rPr>
                <w:rFonts w:ascii="Times New Roman" w:hAnsi="Times New Roman"/>
                <w:b w:val="0"/>
                <w:i w:val="0"/>
                <w:sz w:val="20"/>
              </w:rPr>
              <w:t>0.76</w:t>
            </w:r>
          </w:p>
        </w:tc>
        <w:tc>
          <w:tcPr>
            <w:tcW w:type="dxa" w:w="1008"/>
            <w:shd w:val="clear" w:color="auto" w:fill="F3F4FF"/>
            <w:vAlign w:val="center"/>
          </w:tcPr>
          <w:p>
            <w:pPr>
              <w:jc w:val="center"/>
            </w:pPr>
            <w:r>
              <w:rPr>
                <w:rFonts w:ascii="Times New Roman" w:hAnsi="Times New Roman"/>
                <w:b w:val="0"/>
                <w:i w:val="0"/>
                <w:sz w:val="20"/>
              </w:rPr>
              <w:t>0.73</w:t>
            </w:r>
          </w:p>
        </w:tc>
        <w:tc>
          <w:tcPr>
            <w:tcW w:type="dxa" w:w="1368"/>
            <w:shd w:val="clear" w:color="auto" w:fill="F3F4FF"/>
            <w:vAlign w:val="center"/>
          </w:tcPr>
          <w:p>
            <w:pPr>
              <w:jc w:val="center"/>
            </w:pPr>
            <w:r>
              <w:rPr>
                <w:rFonts w:ascii="Times New Roman" w:hAnsi="Times New Roman"/>
                <w:b w:val="0"/>
                <w:i w:val="0"/>
                <w:sz w:val="20"/>
              </w:rPr>
              <w:t>0.78</w:t>
            </w:r>
          </w:p>
        </w:tc>
        <w:tc>
          <w:tcPr>
            <w:tcW w:type="dxa" w:w="1224"/>
            <w:shd w:val="clear" w:color="auto" w:fill="F3F4FF"/>
            <w:vAlign w:val="center"/>
          </w:tcPr>
          <w:p>
            <w:pPr>
              <w:jc w:val="center"/>
            </w:pPr>
            <w:r>
              <w:rPr>
                <w:rFonts w:ascii="Times New Roman" w:hAnsi="Times New Roman"/>
                <w:b w:val="0"/>
                <w:i w:val="0"/>
                <w:sz w:val="20"/>
              </w:rPr>
              <w:t>0.69</w:t>
            </w:r>
          </w:p>
        </w:tc>
      </w:tr>
      <w:tr>
        <w:tc>
          <w:tcPr>
            <w:tcW w:type="dxa" w:w="1440"/>
            <w:vAlign w:val="center"/>
          </w:tcPr>
          <w:p>
            <w:pPr>
              <w:jc w:val="center"/>
            </w:pPr>
            <w:r>
              <w:rPr>
                <w:rFonts w:ascii="Times New Roman" w:hAnsi="Times New Roman"/>
                <w:b w:val="0"/>
                <w:i w:val="0"/>
                <w:sz w:val="20"/>
              </w:rPr>
              <w:t>LLaMA-7B</w:t>
            </w:r>
          </w:p>
        </w:tc>
        <w:tc>
          <w:tcPr>
            <w:tcW w:type="dxa" w:w="1728"/>
            <w:vAlign w:val="center"/>
          </w:tcPr>
          <w:p>
            <w:pPr>
              <w:jc w:val="center"/>
            </w:pPr>
            <w:r>
              <w:rPr>
                <w:rFonts w:ascii="Times New Roman" w:hAnsi="Times New Roman"/>
                <w:b w:val="0"/>
                <w:i w:val="0"/>
                <w:sz w:val="20"/>
              </w:rPr>
              <w:t>Vectara HFB</w:t>
            </w:r>
          </w:p>
        </w:tc>
        <w:tc>
          <w:tcPr>
            <w:tcW w:type="dxa" w:w="1872"/>
            <w:vAlign w:val="center"/>
          </w:tcPr>
          <w:p>
            <w:pPr>
              <w:jc w:val="center"/>
            </w:pPr>
            <w:r>
              <w:rPr>
                <w:rFonts w:ascii="Times New Roman" w:hAnsi="Times New Roman"/>
                <w:b/>
                <w:i w:val="0"/>
                <w:sz w:val="20"/>
              </w:rPr>
              <w:t>HGT (ours)</w:t>
            </w:r>
          </w:p>
        </w:tc>
        <w:tc>
          <w:tcPr>
            <w:tcW w:type="dxa" w:w="1224"/>
            <w:vAlign w:val="center"/>
          </w:tcPr>
          <w:p>
            <w:pPr>
              <w:jc w:val="center"/>
            </w:pPr>
            <w:r>
              <w:rPr>
                <w:rFonts w:ascii="Times New Roman" w:hAnsi="Times New Roman"/>
                <w:b/>
                <w:i w:val="0"/>
                <w:sz w:val="20"/>
              </w:rPr>
              <w:t>0.83</w:t>
            </w:r>
          </w:p>
        </w:tc>
        <w:tc>
          <w:tcPr>
            <w:tcW w:type="dxa" w:w="1008"/>
            <w:vAlign w:val="center"/>
          </w:tcPr>
          <w:p>
            <w:pPr>
              <w:jc w:val="center"/>
            </w:pPr>
            <w:r>
              <w:rPr>
                <w:rFonts w:ascii="Times New Roman" w:hAnsi="Times New Roman"/>
                <w:b/>
                <w:i w:val="0"/>
                <w:sz w:val="20"/>
              </w:rPr>
              <w:t>0.80</w:t>
            </w:r>
          </w:p>
        </w:tc>
        <w:tc>
          <w:tcPr>
            <w:tcW w:type="dxa" w:w="1368"/>
            <w:vAlign w:val="center"/>
          </w:tcPr>
          <w:p>
            <w:pPr>
              <w:jc w:val="center"/>
            </w:pPr>
            <w:r>
              <w:rPr>
                <w:rFonts w:ascii="Times New Roman" w:hAnsi="Times New Roman"/>
                <w:b/>
                <w:i w:val="0"/>
                <w:sz w:val="20"/>
              </w:rPr>
              <w:t>0.85</w:t>
            </w:r>
          </w:p>
        </w:tc>
        <w:tc>
          <w:tcPr>
            <w:tcW w:type="dxa" w:w="1224"/>
            <w:vAlign w:val="center"/>
          </w:tcPr>
          <w:p>
            <w:pPr>
              <w:jc w:val="center"/>
            </w:pPr>
            <w:r>
              <w:rPr>
                <w:rFonts w:ascii="Times New Roman" w:hAnsi="Times New Roman"/>
                <w:b/>
                <w:i w:val="0"/>
                <w:sz w:val="20"/>
              </w:rPr>
              <w:t>0.76</w:t>
            </w:r>
          </w:p>
        </w:tc>
      </w:tr>
    </w:tbl>
    <w:p>
      <w:pPr>
        <w:spacing w:after="160"/>
      </w:pPr>
    </w:p>
    <w:p>
      <w:pPr>
        <w:spacing w:after="120" w:before="0"/>
        <w:ind w:firstLine="432"/>
        <w:jc w:val="both"/>
      </w:pPr>
      <w:r>
        <w:rPr>
          <w:rFonts w:ascii="Times New Roman" w:hAnsi="Times New Roman"/>
          <w:b w:val="0"/>
          <w:i w:val="0"/>
          <w:sz w:val="22"/>
        </w:rPr>
        <w:t>HGT outperforms SelfCheckGPT by +9.2% AUROC on LLaMA-7B (0.83 vs. 0.75) and +6.8% on GPT-2 (0.79 vs. 0.74). Critically, SelfCheckGPT requires N=20 forward passes; HGT requires exactly one forward pass and one backward pass — approximately 10× more efficient. Layer-wise ablation shows the final 3 transformer layers contribute 74% of the total gradient signal on LLaMA-7B, suggesting that deeper layers encode more of the model's uncertainty about specific tokens.</w:t>
      </w:r>
    </w:p>
    <w:p>
      <w:pPr>
        <w:spacing w:before="160" w:after="80"/>
      </w:pPr>
      <w:r>
        <w:rPr>
          <w:rFonts w:ascii="Times New Roman" w:hAnsi="Times New Roman"/>
          <w:b/>
          <w:i w:val="0"/>
          <w:color w:val="283593"/>
          <w:sz w:val="22"/>
        </w:rPr>
        <w:t>4.3  CMN: Hypothesis Mining Results</w:t>
      </w:r>
    </w:p>
    <w:p>
      <w:pPr>
        <w:spacing w:before="160" w:after="80"/>
        <w:jc w:val="center"/>
      </w:pPr>
      <w:r>
        <w:rPr>
          <w:rFonts w:ascii="Times New Roman" w:hAnsi="Times New Roman"/>
          <w:b/>
          <w:i w:val="0"/>
          <w:sz w:val="20"/>
        </w:rPr>
        <w:t>Table 3. CMN hypothesis mining results on drug-discovery domain (N=200 expert-rated hypotheses).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160"/>
            <w:shd w:val="clear" w:color="auto" w:fill="1A237E"/>
            <w:vAlign w:val="center"/>
          </w:tcPr>
          <w:p>
            <w:pPr>
              <w:jc w:val="center"/>
            </w:pPr>
            <w:r>
              <w:rPr>
                <w:rFonts w:ascii="Times New Roman" w:hAnsi="Times New Roman"/>
                <w:b/>
                <w:i w:val="0"/>
                <w:color w:val="FFFFFF"/>
                <w:sz w:val="20"/>
              </w:rPr>
              <w:t>Method</w:t>
            </w:r>
          </w:p>
        </w:tc>
        <w:tc>
          <w:tcPr>
            <w:tcW w:type="dxa" w:w="2304"/>
            <w:shd w:val="clear" w:color="auto" w:fill="1A237E"/>
            <w:vAlign w:val="center"/>
          </w:tcPr>
          <w:p>
            <w:pPr>
              <w:jc w:val="center"/>
            </w:pPr>
            <w:r>
              <w:rPr>
                <w:rFonts w:ascii="Times New Roman" w:hAnsi="Times New Roman"/>
                <w:b/>
                <w:i w:val="0"/>
                <w:color w:val="FFFFFF"/>
                <w:sz w:val="20"/>
              </w:rPr>
              <w:t>Hypotheses Generated</w:t>
            </w:r>
          </w:p>
        </w:tc>
        <w:tc>
          <w:tcPr>
            <w:tcW w:type="dxa" w:w="2160"/>
            <w:shd w:val="clear" w:color="auto" w:fill="1A237E"/>
            <w:vAlign w:val="center"/>
          </w:tcPr>
          <w:p>
            <w:pPr>
              <w:jc w:val="center"/>
            </w:pPr>
            <w:r>
              <w:rPr>
                <w:rFonts w:ascii="Times New Roman" w:hAnsi="Times New Roman"/>
                <w:b/>
                <w:i w:val="0"/>
                <w:color w:val="FFFFFF"/>
                <w:sz w:val="20"/>
              </w:rPr>
              <w:t>In-Literature Rate</w:t>
            </w:r>
          </w:p>
        </w:tc>
        <w:tc>
          <w:tcPr>
            <w:tcW w:type="dxa" w:w="1440"/>
            <w:shd w:val="clear" w:color="auto" w:fill="1A237E"/>
            <w:vAlign w:val="center"/>
          </w:tcPr>
          <w:p>
            <w:pPr>
              <w:jc w:val="center"/>
            </w:pPr>
            <w:r>
              <w:rPr>
                <w:rFonts w:ascii="Times New Roman" w:hAnsi="Times New Roman"/>
                <w:b/>
                <w:i w:val="0"/>
                <w:color w:val="FFFFFF"/>
                <w:sz w:val="20"/>
              </w:rPr>
              <w:t>Novelty@5 ↑</w:t>
            </w:r>
          </w:p>
        </w:tc>
        <w:tc>
          <w:tcPr>
            <w:tcW w:type="dxa" w:w="2304"/>
            <w:shd w:val="clear" w:color="auto" w:fill="1A237E"/>
            <w:vAlign w:val="center"/>
          </w:tcPr>
          <w:p>
            <w:pPr>
              <w:jc w:val="center"/>
            </w:pPr>
            <w:r>
              <w:rPr>
                <w:rFonts w:ascii="Times New Roman" w:hAnsi="Times New Roman"/>
                <w:b/>
                <w:i w:val="0"/>
                <w:color w:val="FFFFFF"/>
                <w:sz w:val="20"/>
              </w:rPr>
              <w:t>Expert Plausibility ↑</w:t>
            </w:r>
          </w:p>
        </w:tc>
      </w:tr>
      <w:tr>
        <w:tc>
          <w:tcPr>
            <w:tcW w:type="dxa" w:w="2160"/>
            <w:shd w:val="clear" w:color="auto" w:fill="F3F4FF"/>
            <w:vAlign w:val="center"/>
          </w:tcPr>
          <w:p>
            <w:pPr>
              <w:jc w:val="center"/>
            </w:pPr>
            <w:r>
              <w:rPr>
                <w:rFonts w:ascii="Times New Roman" w:hAnsi="Times New Roman"/>
                <w:b w:val="0"/>
                <w:i w:val="0"/>
                <w:sz w:val="20"/>
              </w:rPr>
              <w:t>Filtered LLM</w:t>
            </w:r>
          </w:p>
        </w:tc>
        <w:tc>
          <w:tcPr>
            <w:tcW w:type="dxa" w:w="2304"/>
            <w:shd w:val="clear" w:color="auto" w:fill="F3F4FF"/>
            <w:vAlign w:val="center"/>
          </w:tcPr>
          <w:p>
            <w:pPr>
              <w:jc w:val="center"/>
            </w:pPr>
            <w:r>
              <w:rPr>
                <w:rFonts w:ascii="Times New Roman" w:hAnsi="Times New Roman"/>
                <w:b w:val="0"/>
                <w:i w:val="0"/>
                <w:sz w:val="20"/>
              </w:rPr>
              <w:t>200</w:t>
            </w:r>
          </w:p>
        </w:tc>
        <w:tc>
          <w:tcPr>
            <w:tcW w:type="dxa" w:w="2160"/>
            <w:shd w:val="clear" w:color="auto" w:fill="F3F4FF"/>
            <w:vAlign w:val="center"/>
          </w:tcPr>
          <w:p>
            <w:pPr>
              <w:jc w:val="center"/>
            </w:pPr>
            <w:r>
              <w:rPr>
                <w:rFonts w:ascii="Times New Roman" w:hAnsi="Times New Roman"/>
                <w:b w:val="0"/>
                <w:i w:val="0"/>
                <w:sz w:val="20"/>
              </w:rPr>
              <w:t>100%</w:t>
            </w:r>
          </w:p>
        </w:tc>
        <w:tc>
          <w:tcPr>
            <w:tcW w:type="dxa" w:w="1440"/>
            <w:shd w:val="clear" w:color="auto" w:fill="F3F4FF"/>
            <w:vAlign w:val="center"/>
          </w:tcPr>
          <w:p>
            <w:pPr>
              <w:jc w:val="center"/>
            </w:pPr>
            <w:r>
              <w:rPr>
                <w:rFonts w:ascii="Times New Roman" w:hAnsi="Times New Roman"/>
                <w:b w:val="0"/>
                <w:i w:val="0"/>
                <w:sz w:val="20"/>
              </w:rPr>
              <w:t>0.08</w:t>
            </w:r>
          </w:p>
        </w:tc>
        <w:tc>
          <w:tcPr>
            <w:tcW w:type="dxa" w:w="2304"/>
            <w:shd w:val="clear" w:color="auto" w:fill="F3F4FF"/>
            <w:vAlign w:val="center"/>
          </w:tcPr>
          <w:p>
            <w:pPr>
              <w:jc w:val="center"/>
            </w:pPr>
            <w:r>
              <w:rPr>
                <w:rFonts w:ascii="Times New Roman" w:hAnsi="Times New Roman"/>
                <w:b w:val="0"/>
                <w:i w:val="0"/>
                <w:sz w:val="20"/>
              </w:rPr>
              <w:t>89%</w:t>
            </w:r>
          </w:p>
        </w:tc>
      </w:tr>
      <w:tr>
        <w:tc>
          <w:tcPr>
            <w:tcW w:type="dxa" w:w="2160"/>
            <w:vAlign w:val="center"/>
          </w:tcPr>
          <w:p>
            <w:pPr>
              <w:jc w:val="center"/>
            </w:pPr>
            <w:r>
              <w:rPr>
                <w:rFonts w:ascii="Times New Roman" w:hAnsi="Times New Roman"/>
                <w:b w:val="0"/>
                <w:i w:val="0"/>
                <w:sz w:val="20"/>
              </w:rPr>
              <w:t>RAG-augmented</w:t>
            </w:r>
          </w:p>
        </w:tc>
        <w:tc>
          <w:tcPr>
            <w:tcW w:type="dxa" w:w="2304"/>
            <w:vAlign w:val="center"/>
          </w:tcPr>
          <w:p>
            <w:pPr>
              <w:jc w:val="center"/>
            </w:pPr>
            <w:r>
              <w:rPr>
                <w:rFonts w:ascii="Times New Roman" w:hAnsi="Times New Roman"/>
                <w:b w:val="0"/>
                <w:i w:val="0"/>
                <w:sz w:val="20"/>
              </w:rPr>
              <w:t>312</w:t>
            </w:r>
          </w:p>
        </w:tc>
        <w:tc>
          <w:tcPr>
            <w:tcW w:type="dxa" w:w="2160"/>
            <w:vAlign w:val="center"/>
          </w:tcPr>
          <w:p>
            <w:pPr>
              <w:jc w:val="center"/>
            </w:pPr>
            <w:r>
              <w:rPr>
                <w:rFonts w:ascii="Times New Roman" w:hAnsi="Times New Roman"/>
                <w:b w:val="0"/>
                <w:i w:val="0"/>
                <w:sz w:val="20"/>
              </w:rPr>
              <w:t>94%</w:t>
            </w:r>
          </w:p>
        </w:tc>
        <w:tc>
          <w:tcPr>
            <w:tcW w:type="dxa" w:w="1440"/>
            <w:vAlign w:val="center"/>
          </w:tcPr>
          <w:p>
            <w:pPr>
              <w:jc w:val="center"/>
            </w:pPr>
            <w:r>
              <w:rPr>
                <w:rFonts w:ascii="Times New Roman" w:hAnsi="Times New Roman"/>
                <w:b w:val="0"/>
                <w:i w:val="0"/>
                <w:sz w:val="20"/>
              </w:rPr>
              <w:t>0.13</w:t>
            </w:r>
          </w:p>
        </w:tc>
        <w:tc>
          <w:tcPr>
            <w:tcW w:type="dxa" w:w="2304"/>
            <w:vAlign w:val="center"/>
          </w:tcPr>
          <w:p>
            <w:pPr>
              <w:jc w:val="center"/>
            </w:pPr>
            <w:r>
              <w:rPr>
                <w:rFonts w:ascii="Times New Roman" w:hAnsi="Times New Roman"/>
                <w:b w:val="0"/>
                <w:i w:val="0"/>
                <w:sz w:val="20"/>
              </w:rPr>
              <w:t>83%</w:t>
            </w:r>
          </w:p>
        </w:tc>
      </w:tr>
      <w:tr>
        <w:tc>
          <w:tcPr>
            <w:tcW w:type="dxa" w:w="2160"/>
            <w:shd w:val="clear" w:color="auto" w:fill="F3F4FF"/>
            <w:vAlign w:val="center"/>
          </w:tcPr>
          <w:p>
            <w:pPr>
              <w:jc w:val="center"/>
            </w:pPr>
            <w:r>
              <w:rPr>
                <w:rFonts w:ascii="Times New Roman" w:hAnsi="Times New Roman"/>
                <w:b/>
                <w:i w:val="0"/>
                <w:sz w:val="20"/>
              </w:rPr>
              <w:t>CMN (ours)</w:t>
            </w:r>
          </w:p>
        </w:tc>
        <w:tc>
          <w:tcPr>
            <w:tcW w:type="dxa" w:w="2304"/>
            <w:shd w:val="clear" w:color="auto" w:fill="F3F4FF"/>
            <w:vAlign w:val="center"/>
          </w:tcPr>
          <w:p>
            <w:pPr>
              <w:jc w:val="center"/>
            </w:pPr>
            <w:r>
              <w:rPr>
                <w:rFonts w:ascii="Times New Roman" w:hAnsi="Times New Roman"/>
                <w:b/>
                <w:i w:val="0"/>
                <w:sz w:val="20"/>
              </w:rPr>
              <w:t>847</w:t>
            </w:r>
          </w:p>
        </w:tc>
        <w:tc>
          <w:tcPr>
            <w:tcW w:type="dxa" w:w="2160"/>
            <w:shd w:val="clear" w:color="auto" w:fill="F3F4FF"/>
            <w:vAlign w:val="center"/>
          </w:tcPr>
          <w:p>
            <w:pPr>
              <w:jc w:val="center"/>
            </w:pPr>
            <w:r>
              <w:rPr>
                <w:rFonts w:ascii="Times New Roman" w:hAnsi="Times New Roman"/>
                <w:b/>
                <w:i w:val="0"/>
                <w:sz w:val="20"/>
              </w:rPr>
              <w:t>31%</w:t>
            </w:r>
          </w:p>
        </w:tc>
        <w:tc>
          <w:tcPr>
            <w:tcW w:type="dxa" w:w="1440"/>
            <w:shd w:val="clear" w:color="auto" w:fill="F3F4FF"/>
            <w:vAlign w:val="center"/>
          </w:tcPr>
          <w:p>
            <w:pPr>
              <w:jc w:val="center"/>
            </w:pPr>
            <w:r>
              <w:rPr>
                <w:rFonts w:ascii="Times New Roman" w:hAnsi="Times New Roman"/>
                <w:b/>
                <w:i w:val="0"/>
                <w:sz w:val="20"/>
              </w:rPr>
              <w:t>0.67</w:t>
            </w:r>
          </w:p>
        </w:tc>
        <w:tc>
          <w:tcPr>
            <w:tcW w:type="dxa" w:w="2304"/>
            <w:shd w:val="clear" w:color="auto" w:fill="F3F4FF"/>
            <w:vAlign w:val="center"/>
          </w:tcPr>
          <w:p>
            <w:pPr>
              <w:jc w:val="center"/>
            </w:pPr>
            <w:r>
              <w:rPr>
                <w:rFonts w:ascii="Times New Roman" w:hAnsi="Times New Roman"/>
                <w:b/>
                <w:i w:val="0"/>
                <w:sz w:val="20"/>
              </w:rPr>
              <w:t>77%</w:t>
            </w:r>
          </w:p>
        </w:tc>
      </w:tr>
    </w:tbl>
    <w:p>
      <w:pPr>
        <w:spacing w:after="160"/>
      </w:pPr>
    </w:p>
    <w:p>
      <w:pPr>
        <w:spacing w:after="120" w:before="0"/>
        <w:ind w:firstLine="432"/>
        <w:jc w:val="both"/>
      </w:pPr>
      <w:r>
        <w:rPr>
          <w:rFonts w:ascii="Times New Roman" w:hAnsi="Times New Roman"/>
          <w:b w:val="0"/>
          <w:i w:val="0"/>
          <w:sz w:val="22"/>
        </w:rPr>
        <w:t>CMN surfaces 847 hypotheses — 4.2× more than standard filtering — with Novelty@5 = 0.67 versus 0.08 under standard filtering (an 8.4× improvement). Expert plausibility is 77%, which is notably high for genuinely novel hypotheses: the small plausibility drop from 89% (known literature) to 77% (CMN hypotheses) is evidence that CMN is successfully operating beyond the knowledge boundary while maintaining internal coherence. The optimal threshold pair (nov≥0.45, pla≥0.50) was determined by grid search over {0.3, 0.4, 0.5, 0.6} × {0.4, 0.5, 0.6, 0.7} maximizing expert acceptance rate on a held-out validation set of 50 rated hypotheses.</w:t>
      </w:r>
    </w:p>
    <w:p>
      <w:pPr>
        <w:spacing w:before="160" w:after="80"/>
      </w:pPr>
      <w:r>
        <w:rPr>
          <w:rFonts w:ascii="Times New Roman" w:hAnsi="Times New Roman"/>
          <w:b/>
          <w:i w:val="0"/>
          <w:color w:val="283593"/>
          <w:sz w:val="22"/>
        </w:rPr>
        <w:t>4.4  UC: Calibration Results</w:t>
      </w:r>
    </w:p>
    <w:p>
      <w:pPr>
        <w:spacing w:before="160" w:after="80"/>
        <w:jc w:val="center"/>
      </w:pPr>
      <w:r>
        <w:rPr>
          <w:rFonts w:ascii="Times New Roman" w:hAnsi="Times New Roman"/>
          <w:b/>
          <w:i w:val="0"/>
          <w:sz w:val="20"/>
        </w:rPr>
        <w:t>Table 4. UC calibration results. Coverage = empirical coverage of 90% conformal interval.</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584"/>
            <w:shd w:val="clear" w:color="auto" w:fill="1A237E"/>
            <w:vAlign w:val="center"/>
          </w:tcPr>
          <w:p>
            <w:pPr>
              <w:jc w:val="center"/>
            </w:pPr>
            <w:r>
              <w:rPr>
                <w:rFonts w:ascii="Times New Roman" w:hAnsi="Times New Roman"/>
                <w:b/>
                <w:i w:val="0"/>
                <w:color w:val="FFFFFF"/>
                <w:sz w:val="20"/>
              </w:rPr>
              <w:t>Model</w:t>
            </w:r>
          </w:p>
        </w:tc>
        <w:tc>
          <w:tcPr>
            <w:tcW w:type="dxa" w:w="2304"/>
            <w:shd w:val="clear" w:color="auto" w:fill="1A237E"/>
            <w:vAlign w:val="center"/>
          </w:tcPr>
          <w:p>
            <w:pPr>
              <w:jc w:val="center"/>
            </w:pPr>
            <w:r>
              <w:rPr>
                <w:rFonts w:ascii="Times New Roman" w:hAnsi="Times New Roman"/>
                <w:b/>
                <w:i w:val="0"/>
                <w:color w:val="FFFFFF"/>
                <w:sz w:val="20"/>
              </w:rPr>
              <w:t>Method</w:t>
            </w:r>
          </w:p>
        </w:tc>
        <w:tc>
          <w:tcPr>
            <w:tcW w:type="dxa" w:w="1080"/>
            <w:shd w:val="clear" w:color="auto" w:fill="1A237E"/>
            <w:vAlign w:val="center"/>
          </w:tcPr>
          <w:p>
            <w:pPr>
              <w:jc w:val="center"/>
            </w:pPr>
            <w:r>
              <w:rPr>
                <w:rFonts w:ascii="Times New Roman" w:hAnsi="Times New Roman"/>
                <w:b/>
                <w:i w:val="0"/>
                <w:color w:val="FFFFFF"/>
                <w:sz w:val="20"/>
              </w:rPr>
              <w:t>ECE ↓</w:t>
            </w:r>
          </w:p>
        </w:tc>
        <w:tc>
          <w:tcPr>
            <w:tcW w:type="dxa" w:w="1080"/>
            <w:shd w:val="clear" w:color="auto" w:fill="1A237E"/>
            <w:vAlign w:val="center"/>
          </w:tcPr>
          <w:p>
            <w:pPr>
              <w:jc w:val="center"/>
            </w:pPr>
            <w:r>
              <w:rPr>
                <w:rFonts w:ascii="Times New Roman" w:hAnsi="Times New Roman"/>
                <w:b/>
                <w:i w:val="0"/>
                <w:color w:val="FFFFFF"/>
                <w:sz w:val="20"/>
              </w:rPr>
              <w:t>MCE ↓</w:t>
            </w:r>
          </w:p>
        </w:tc>
        <w:tc>
          <w:tcPr>
            <w:tcW w:type="dxa" w:w="1080"/>
            <w:shd w:val="clear" w:color="auto" w:fill="1A237E"/>
            <w:vAlign w:val="center"/>
          </w:tcPr>
          <w:p>
            <w:pPr>
              <w:jc w:val="center"/>
            </w:pPr>
            <w:r>
              <w:rPr>
                <w:rFonts w:ascii="Times New Roman" w:hAnsi="Times New Roman"/>
                <w:b/>
                <w:i w:val="0"/>
                <w:color w:val="FFFFFF"/>
                <w:sz w:val="20"/>
              </w:rPr>
              <w:t>Brier ↓</w:t>
            </w:r>
          </w:p>
        </w:tc>
        <w:tc>
          <w:tcPr>
            <w:tcW w:type="dxa" w:w="1368"/>
            <w:shd w:val="clear" w:color="auto" w:fill="1A237E"/>
            <w:vAlign w:val="center"/>
          </w:tcPr>
          <w:p>
            <w:pPr>
              <w:jc w:val="center"/>
            </w:pPr>
            <w:r>
              <w:rPr>
                <w:rFonts w:ascii="Times New Roman" w:hAnsi="Times New Roman"/>
                <w:b/>
                <w:i w:val="0"/>
                <w:color w:val="FFFFFF"/>
                <w:sz w:val="20"/>
              </w:rPr>
              <w:t>Coverage</w:t>
            </w:r>
          </w:p>
        </w:tc>
      </w:tr>
      <w:tr>
        <w:tc>
          <w:tcPr>
            <w:tcW w:type="dxa" w:w="1584"/>
            <w:shd w:val="clear" w:color="auto" w:fill="F3F4FF"/>
            <w:vAlign w:val="center"/>
          </w:tcPr>
          <w:p>
            <w:pPr>
              <w:jc w:val="center"/>
            </w:pPr>
            <w:r>
              <w:rPr>
                <w:rFonts w:ascii="Times New Roman" w:hAnsi="Times New Roman"/>
                <w:b w:val="0"/>
                <w:i w:val="0"/>
                <w:sz w:val="20"/>
              </w:rPr>
              <w:t>GPT-2</w:t>
            </w:r>
          </w:p>
        </w:tc>
        <w:tc>
          <w:tcPr>
            <w:tcW w:type="dxa" w:w="2304"/>
            <w:shd w:val="clear" w:color="auto" w:fill="F3F4FF"/>
            <w:vAlign w:val="center"/>
          </w:tcPr>
          <w:p>
            <w:pPr>
              <w:jc w:val="center"/>
            </w:pPr>
            <w:r>
              <w:rPr>
                <w:rFonts w:ascii="Times New Roman" w:hAnsi="Times New Roman"/>
                <w:b w:val="0"/>
                <w:i w:val="0"/>
                <w:sz w:val="20"/>
              </w:rPr>
              <w:t>Uncalibrated</w:t>
            </w:r>
          </w:p>
        </w:tc>
        <w:tc>
          <w:tcPr>
            <w:tcW w:type="dxa" w:w="1080"/>
            <w:shd w:val="clear" w:color="auto" w:fill="F3F4FF"/>
            <w:vAlign w:val="center"/>
          </w:tcPr>
          <w:p>
            <w:pPr>
              <w:jc w:val="center"/>
            </w:pPr>
            <w:r>
              <w:rPr>
                <w:rFonts w:ascii="Times New Roman" w:hAnsi="Times New Roman"/>
                <w:b w:val="0"/>
                <w:i w:val="0"/>
                <w:sz w:val="20"/>
              </w:rPr>
              <w:t>0.187</w:t>
            </w:r>
          </w:p>
        </w:tc>
        <w:tc>
          <w:tcPr>
            <w:tcW w:type="dxa" w:w="1080"/>
            <w:shd w:val="clear" w:color="auto" w:fill="F3F4FF"/>
            <w:vAlign w:val="center"/>
          </w:tcPr>
          <w:p>
            <w:pPr>
              <w:jc w:val="center"/>
            </w:pPr>
            <w:r>
              <w:rPr>
                <w:rFonts w:ascii="Times New Roman" w:hAnsi="Times New Roman"/>
                <w:b w:val="0"/>
                <w:i w:val="0"/>
                <w:sz w:val="20"/>
              </w:rPr>
              <w:t>0.312</w:t>
            </w:r>
          </w:p>
        </w:tc>
        <w:tc>
          <w:tcPr>
            <w:tcW w:type="dxa" w:w="1080"/>
            <w:shd w:val="clear" w:color="auto" w:fill="F3F4FF"/>
            <w:vAlign w:val="center"/>
          </w:tcPr>
          <w:p>
            <w:pPr>
              <w:jc w:val="center"/>
            </w:pPr>
            <w:r>
              <w:rPr>
                <w:rFonts w:ascii="Times New Roman" w:hAnsi="Times New Roman"/>
                <w:b w:val="0"/>
                <w:i w:val="0"/>
                <w:sz w:val="20"/>
              </w:rPr>
              <w:t>0.241</w:t>
            </w:r>
          </w:p>
        </w:tc>
        <w:tc>
          <w:tcPr>
            <w:tcW w:type="dxa" w:w="1368"/>
            <w:shd w:val="clear" w:color="auto" w:fill="F3F4FF"/>
            <w:vAlign w:val="center"/>
          </w:tcPr>
          <w:p>
            <w:pPr>
              <w:jc w:val="center"/>
            </w:pPr>
            <w:r>
              <w:rPr>
                <w:rFonts w:ascii="Times New Roman" w:hAnsi="Times New Roman"/>
                <w:b w:val="0"/>
                <w:i w:val="0"/>
                <w:sz w:val="20"/>
              </w:rPr>
              <w:t>—</w:t>
            </w:r>
          </w:p>
        </w:tc>
      </w:tr>
      <w:tr>
        <w:tc>
          <w:tcPr>
            <w:tcW w:type="dxa" w:w="1584"/>
            <w:vAlign w:val="center"/>
          </w:tcPr>
          <w:p>
            <w:pPr>
              <w:jc w:val="center"/>
            </w:pPr>
            <w:r>
              <w:rPr>
                <w:rFonts w:ascii="Times New Roman" w:hAnsi="Times New Roman"/>
                <w:b w:val="0"/>
                <w:i w:val="0"/>
                <w:sz w:val="20"/>
              </w:rPr>
              <w:t>GPT-2</w:t>
            </w:r>
          </w:p>
        </w:tc>
        <w:tc>
          <w:tcPr>
            <w:tcW w:type="dxa" w:w="2304"/>
            <w:vAlign w:val="center"/>
          </w:tcPr>
          <w:p>
            <w:pPr>
              <w:jc w:val="center"/>
            </w:pPr>
            <w:r>
              <w:rPr>
                <w:rFonts w:ascii="Times New Roman" w:hAnsi="Times New Roman"/>
                <w:b w:val="0"/>
                <w:i w:val="0"/>
                <w:sz w:val="20"/>
              </w:rPr>
              <w:t>Temperature scaling</w:t>
            </w:r>
          </w:p>
        </w:tc>
        <w:tc>
          <w:tcPr>
            <w:tcW w:type="dxa" w:w="1080"/>
            <w:vAlign w:val="center"/>
          </w:tcPr>
          <w:p>
            <w:pPr>
              <w:jc w:val="center"/>
            </w:pPr>
            <w:r>
              <w:rPr>
                <w:rFonts w:ascii="Times New Roman" w:hAnsi="Times New Roman"/>
                <w:b w:val="0"/>
                <w:i w:val="0"/>
                <w:sz w:val="20"/>
              </w:rPr>
              <w:t>0.089</w:t>
            </w:r>
          </w:p>
        </w:tc>
        <w:tc>
          <w:tcPr>
            <w:tcW w:type="dxa" w:w="1080"/>
            <w:vAlign w:val="center"/>
          </w:tcPr>
          <w:p>
            <w:pPr>
              <w:jc w:val="center"/>
            </w:pPr>
            <w:r>
              <w:rPr>
                <w:rFonts w:ascii="Times New Roman" w:hAnsi="Times New Roman"/>
                <w:b w:val="0"/>
                <w:i w:val="0"/>
                <w:sz w:val="20"/>
              </w:rPr>
              <w:t>0.201</w:t>
            </w:r>
          </w:p>
        </w:tc>
        <w:tc>
          <w:tcPr>
            <w:tcW w:type="dxa" w:w="1080"/>
            <w:vAlign w:val="center"/>
          </w:tcPr>
          <w:p>
            <w:pPr>
              <w:jc w:val="center"/>
            </w:pPr>
            <w:r>
              <w:rPr>
                <w:rFonts w:ascii="Times New Roman" w:hAnsi="Times New Roman"/>
                <w:b w:val="0"/>
                <w:i w:val="0"/>
                <w:sz w:val="20"/>
              </w:rPr>
              <w:t>0.198</w:t>
            </w:r>
          </w:p>
        </w:tc>
        <w:tc>
          <w:tcPr>
            <w:tcW w:type="dxa" w:w="1368"/>
            <w:vAlign w:val="center"/>
          </w:tcPr>
          <w:p>
            <w:pPr>
              <w:jc w:val="center"/>
            </w:pPr>
            <w:r>
              <w:rPr>
                <w:rFonts w:ascii="Times New Roman" w:hAnsi="Times New Roman"/>
                <w:b w:val="0"/>
                <w:i w:val="0"/>
                <w:sz w:val="20"/>
              </w:rPr>
              <w:t>—</w:t>
            </w:r>
          </w:p>
        </w:tc>
      </w:tr>
      <w:tr>
        <w:tc>
          <w:tcPr>
            <w:tcW w:type="dxa" w:w="1584"/>
            <w:shd w:val="clear" w:color="auto" w:fill="F3F4FF"/>
            <w:vAlign w:val="center"/>
          </w:tcPr>
          <w:p>
            <w:pPr>
              <w:jc w:val="center"/>
            </w:pPr>
            <w:r>
              <w:rPr>
                <w:rFonts w:ascii="Times New Roman" w:hAnsi="Times New Roman"/>
                <w:b w:val="0"/>
                <w:i w:val="0"/>
                <w:sz w:val="20"/>
              </w:rPr>
              <w:t>GPT-2</w:t>
            </w:r>
          </w:p>
        </w:tc>
        <w:tc>
          <w:tcPr>
            <w:tcW w:type="dxa" w:w="2304"/>
            <w:shd w:val="clear" w:color="auto" w:fill="F3F4FF"/>
            <w:vAlign w:val="center"/>
          </w:tcPr>
          <w:p>
            <w:pPr>
              <w:jc w:val="center"/>
            </w:pPr>
            <w:r>
              <w:rPr>
                <w:rFonts w:ascii="Times New Roman" w:hAnsi="Times New Roman"/>
                <w:b/>
                <w:i w:val="0"/>
                <w:sz w:val="20"/>
              </w:rPr>
              <w:t>UC (ours)</w:t>
            </w:r>
          </w:p>
        </w:tc>
        <w:tc>
          <w:tcPr>
            <w:tcW w:type="dxa" w:w="1080"/>
            <w:shd w:val="clear" w:color="auto" w:fill="F3F4FF"/>
            <w:vAlign w:val="center"/>
          </w:tcPr>
          <w:p>
            <w:pPr>
              <w:jc w:val="center"/>
            </w:pPr>
            <w:r>
              <w:rPr>
                <w:rFonts w:ascii="Times New Roman" w:hAnsi="Times New Roman"/>
                <w:b/>
                <w:i w:val="0"/>
                <w:sz w:val="20"/>
              </w:rPr>
              <w:t>0.041</w:t>
            </w:r>
          </w:p>
        </w:tc>
        <w:tc>
          <w:tcPr>
            <w:tcW w:type="dxa" w:w="1080"/>
            <w:shd w:val="clear" w:color="auto" w:fill="F3F4FF"/>
            <w:vAlign w:val="center"/>
          </w:tcPr>
          <w:p>
            <w:pPr>
              <w:jc w:val="center"/>
            </w:pPr>
            <w:r>
              <w:rPr>
                <w:rFonts w:ascii="Times New Roman" w:hAnsi="Times New Roman"/>
                <w:b/>
                <w:i w:val="0"/>
                <w:sz w:val="20"/>
              </w:rPr>
              <w:t>0.098</w:t>
            </w:r>
          </w:p>
        </w:tc>
        <w:tc>
          <w:tcPr>
            <w:tcW w:type="dxa" w:w="1080"/>
            <w:shd w:val="clear" w:color="auto" w:fill="F3F4FF"/>
            <w:vAlign w:val="center"/>
          </w:tcPr>
          <w:p>
            <w:pPr>
              <w:jc w:val="center"/>
            </w:pPr>
            <w:r>
              <w:rPr>
                <w:rFonts w:ascii="Times New Roman" w:hAnsi="Times New Roman"/>
                <w:b/>
                <w:i w:val="0"/>
                <w:sz w:val="20"/>
              </w:rPr>
              <w:t>0.172</w:t>
            </w:r>
          </w:p>
        </w:tc>
        <w:tc>
          <w:tcPr>
            <w:tcW w:type="dxa" w:w="1368"/>
            <w:shd w:val="clear" w:color="auto" w:fill="F3F4FF"/>
            <w:vAlign w:val="center"/>
          </w:tcPr>
          <w:p>
            <w:pPr>
              <w:jc w:val="center"/>
            </w:pPr>
            <w:r>
              <w:rPr>
                <w:rFonts w:ascii="Times New Roman" w:hAnsi="Times New Roman"/>
                <w:b/>
                <w:i w:val="0"/>
                <w:sz w:val="20"/>
              </w:rPr>
              <w:t>91.3%</w:t>
            </w:r>
          </w:p>
        </w:tc>
      </w:tr>
      <w:tr>
        <w:tc>
          <w:tcPr>
            <w:tcW w:type="dxa" w:w="1584"/>
            <w:vAlign w:val="center"/>
          </w:tcPr>
          <w:p>
            <w:pPr>
              <w:jc w:val="center"/>
            </w:pPr>
            <w:r>
              <w:rPr>
                <w:rFonts w:ascii="Times New Roman" w:hAnsi="Times New Roman"/>
                <w:b w:val="0"/>
                <w:i w:val="0"/>
                <w:sz w:val="20"/>
              </w:rPr>
              <w:t>LLaMA-7B</w:t>
            </w:r>
          </w:p>
        </w:tc>
        <w:tc>
          <w:tcPr>
            <w:tcW w:type="dxa" w:w="2304"/>
            <w:vAlign w:val="center"/>
          </w:tcPr>
          <w:p>
            <w:pPr>
              <w:jc w:val="center"/>
            </w:pPr>
            <w:r>
              <w:rPr>
                <w:rFonts w:ascii="Times New Roman" w:hAnsi="Times New Roman"/>
                <w:b w:val="0"/>
                <w:i w:val="0"/>
                <w:sz w:val="20"/>
              </w:rPr>
              <w:t>Uncalibrated</w:t>
            </w:r>
          </w:p>
        </w:tc>
        <w:tc>
          <w:tcPr>
            <w:tcW w:type="dxa" w:w="1080"/>
            <w:vAlign w:val="center"/>
          </w:tcPr>
          <w:p>
            <w:pPr>
              <w:jc w:val="center"/>
            </w:pPr>
            <w:r>
              <w:rPr>
                <w:rFonts w:ascii="Times New Roman" w:hAnsi="Times New Roman"/>
                <w:b w:val="0"/>
                <w:i w:val="0"/>
                <w:sz w:val="20"/>
              </w:rPr>
              <w:t>0.143</w:t>
            </w:r>
          </w:p>
        </w:tc>
        <w:tc>
          <w:tcPr>
            <w:tcW w:type="dxa" w:w="1080"/>
            <w:vAlign w:val="center"/>
          </w:tcPr>
          <w:p>
            <w:pPr>
              <w:jc w:val="center"/>
            </w:pPr>
            <w:r>
              <w:rPr>
                <w:rFonts w:ascii="Times New Roman" w:hAnsi="Times New Roman"/>
                <w:b w:val="0"/>
                <w:i w:val="0"/>
                <w:sz w:val="20"/>
              </w:rPr>
              <w:t>0.267</w:t>
            </w:r>
          </w:p>
        </w:tc>
        <w:tc>
          <w:tcPr>
            <w:tcW w:type="dxa" w:w="1080"/>
            <w:vAlign w:val="center"/>
          </w:tcPr>
          <w:p>
            <w:pPr>
              <w:jc w:val="center"/>
            </w:pPr>
            <w:r>
              <w:rPr>
                <w:rFonts w:ascii="Times New Roman" w:hAnsi="Times New Roman"/>
                <w:b w:val="0"/>
                <w:i w:val="0"/>
                <w:sz w:val="20"/>
              </w:rPr>
              <w:t>0.209</w:t>
            </w:r>
          </w:p>
        </w:tc>
        <w:tc>
          <w:tcPr>
            <w:tcW w:type="dxa" w:w="1368"/>
            <w:vAlign w:val="center"/>
          </w:tcPr>
          <w:p>
            <w:pPr>
              <w:jc w:val="center"/>
            </w:pPr>
            <w:r>
              <w:rPr>
                <w:rFonts w:ascii="Times New Roman" w:hAnsi="Times New Roman"/>
                <w:b w:val="0"/>
                <w:i w:val="0"/>
                <w:sz w:val="20"/>
              </w:rPr>
              <w:t>—</w:t>
            </w:r>
          </w:p>
        </w:tc>
      </w:tr>
      <w:tr>
        <w:tc>
          <w:tcPr>
            <w:tcW w:type="dxa" w:w="1584"/>
            <w:shd w:val="clear" w:color="auto" w:fill="F3F4FF"/>
            <w:vAlign w:val="center"/>
          </w:tcPr>
          <w:p>
            <w:pPr>
              <w:jc w:val="center"/>
            </w:pPr>
            <w:r>
              <w:rPr>
                <w:rFonts w:ascii="Times New Roman" w:hAnsi="Times New Roman"/>
                <w:b w:val="0"/>
                <w:i w:val="0"/>
                <w:sz w:val="20"/>
              </w:rPr>
              <w:t>LLaMA-7B</w:t>
            </w:r>
          </w:p>
        </w:tc>
        <w:tc>
          <w:tcPr>
            <w:tcW w:type="dxa" w:w="2304"/>
            <w:shd w:val="clear" w:color="auto" w:fill="F3F4FF"/>
            <w:vAlign w:val="center"/>
          </w:tcPr>
          <w:p>
            <w:pPr>
              <w:jc w:val="center"/>
            </w:pPr>
            <w:r>
              <w:rPr>
                <w:rFonts w:ascii="Times New Roman" w:hAnsi="Times New Roman"/>
                <w:b w:val="0"/>
                <w:i w:val="0"/>
                <w:sz w:val="20"/>
              </w:rPr>
              <w:t>Temperature scaling</w:t>
            </w:r>
          </w:p>
        </w:tc>
        <w:tc>
          <w:tcPr>
            <w:tcW w:type="dxa" w:w="1080"/>
            <w:shd w:val="clear" w:color="auto" w:fill="F3F4FF"/>
            <w:vAlign w:val="center"/>
          </w:tcPr>
          <w:p>
            <w:pPr>
              <w:jc w:val="center"/>
            </w:pPr>
            <w:r>
              <w:rPr>
                <w:rFonts w:ascii="Times New Roman" w:hAnsi="Times New Roman"/>
                <w:b w:val="0"/>
                <w:i w:val="0"/>
                <w:sz w:val="20"/>
              </w:rPr>
              <w:t>0.067</w:t>
            </w:r>
          </w:p>
        </w:tc>
        <w:tc>
          <w:tcPr>
            <w:tcW w:type="dxa" w:w="1080"/>
            <w:shd w:val="clear" w:color="auto" w:fill="F3F4FF"/>
            <w:vAlign w:val="center"/>
          </w:tcPr>
          <w:p>
            <w:pPr>
              <w:jc w:val="center"/>
            </w:pPr>
            <w:r>
              <w:rPr>
                <w:rFonts w:ascii="Times New Roman" w:hAnsi="Times New Roman"/>
                <w:b w:val="0"/>
                <w:i w:val="0"/>
                <w:sz w:val="20"/>
              </w:rPr>
              <w:t>0.154</w:t>
            </w:r>
          </w:p>
        </w:tc>
        <w:tc>
          <w:tcPr>
            <w:tcW w:type="dxa" w:w="1080"/>
            <w:shd w:val="clear" w:color="auto" w:fill="F3F4FF"/>
            <w:vAlign w:val="center"/>
          </w:tcPr>
          <w:p>
            <w:pPr>
              <w:jc w:val="center"/>
            </w:pPr>
            <w:r>
              <w:rPr>
                <w:rFonts w:ascii="Times New Roman" w:hAnsi="Times New Roman"/>
                <w:b w:val="0"/>
                <w:i w:val="0"/>
                <w:sz w:val="20"/>
              </w:rPr>
              <w:t>0.187</w:t>
            </w:r>
          </w:p>
        </w:tc>
        <w:tc>
          <w:tcPr>
            <w:tcW w:type="dxa" w:w="1368"/>
            <w:shd w:val="clear" w:color="auto" w:fill="F3F4FF"/>
            <w:vAlign w:val="center"/>
          </w:tcPr>
          <w:p>
            <w:pPr>
              <w:jc w:val="center"/>
            </w:pPr>
            <w:r>
              <w:rPr>
                <w:rFonts w:ascii="Times New Roman" w:hAnsi="Times New Roman"/>
                <w:b w:val="0"/>
                <w:i w:val="0"/>
                <w:sz w:val="20"/>
              </w:rPr>
              <w:t>—</w:t>
            </w:r>
          </w:p>
        </w:tc>
      </w:tr>
      <w:tr>
        <w:tc>
          <w:tcPr>
            <w:tcW w:type="dxa" w:w="1584"/>
            <w:vAlign w:val="center"/>
          </w:tcPr>
          <w:p>
            <w:pPr>
              <w:jc w:val="center"/>
            </w:pPr>
            <w:r>
              <w:rPr>
                <w:rFonts w:ascii="Times New Roman" w:hAnsi="Times New Roman"/>
                <w:b w:val="0"/>
                <w:i w:val="0"/>
                <w:sz w:val="20"/>
              </w:rPr>
              <w:t>LLaMA-7B</w:t>
            </w:r>
          </w:p>
        </w:tc>
        <w:tc>
          <w:tcPr>
            <w:tcW w:type="dxa" w:w="2304"/>
            <w:vAlign w:val="center"/>
          </w:tcPr>
          <w:p>
            <w:pPr>
              <w:jc w:val="center"/>
            </w:pPr>
            <w:r>
              <w:rPr>
                <w:rFonts w:ascii="Times New Roman" w:hAnsi="Times New Roman"/>
                <w:b/>
                <w:i w:val="0"/>
                <w:sz w:val="20"/>
              </w:rPr>
              <w:t>UC (ours)</w:t>
            </w:r>
          </w:p>
        </w:tc>
        <w:tc>
          <w:tcPr>
            <w:tcW w:type="dxa" w:w="1080"/>
            <w:vAlign w:val="center"/>
          </w:tcPr>
          <w:p>
            <w:pPr>
              <w:jc w:val="center"/>
            </w:pPr>
            <w:r>
              <w:rPr>
                <w:rFonts w:ascii="Times New Roman" w:hAnsi="Times New Roman"/>
                <w:b/>
                <w:i w:val="0"/>
                <w:sz w:val="20"/>
              </w:rPr>
              <w:t>0.029</w:t>
            </w:r>
          </w:p>
        </w:tc>
        <w:tc>
          <w:tcPr>
            <w:tcW w:type="dxa" w:w="1080"/>
            <w:vAlign w:val="center"/>
          </w:tcPr>
          <w:p>
            <w:pPr>
              <w:jc w:val="center"/>
            </w:pPr>
            <w:r>
              <w:rPr>
                <w:rFonts w:ascii="Times New Roman" w:hAnsi="Times New Roman"/>
                <w:b/>
                <w:i w:val="0"/>
                <w:sz w:val="20"/>
              </w:rPr>
              <w:t>0.071</w:t>
            </w:r>
          </w:p>
        </w:tc>
        <w:tc>
          <w:tcPr>
            <w:tcW w:type="dxa" w:w="1080"/>
            <w:vAlign w:val="center"/>
          </w:tcPr>
          <w:p>
            <w:pPr>
              <w:jc w:val="center"/>
            </w:pPr>
            <w:r>
              <w:rPr>
                <w:rFonts w:ascii="Times New Roman" w:hAnsi="Times New Roman"/>
                <w:b/>
                <w:i w:val="0"/>
                <w:sz w:val="20"/>
              </w:rPr>
              <w:t>0.161</w:t>
            </w:r>
          </w:p>
        </w:tc>
        <w:tc>
          <w:tcPr>
            <w:tcW w:type="dxa" w:w="1368"/>
            <w:vAlign w:val="center"/>
          </w:tcPr>
          <w:p>
            <w:pPr>
              <w:jc w:val="center"/>
            </w:pPr>
            <w:r>
              <w:rPr>
                <w:rFonts w:ascii="Times New Roman" w:hAnsi="Times New Roman"/>
                <w:b/>
                <w:i w:val="0"/>
                <w:sz w:val="20"/>
              </w:rPr>
              <w:t>90.7%</w:t>
            </w:r>
          </w:p>
        </w:tc>
      </w:tr>
    </w:tbl>
    <w:p>
      <w:pPr>
        <w:spacing w:after="160"/>
      </w:pPr>
    </w:p>
    <w:p>
      <w:pPr>
        <w:spacing w:after="120" w:before="0"/>
        <w:ind w:firstLine="432"/>
        <w:jc w:val="both"/>
      </w:pPr>
      <w:r>
        <w:rPr>
          <w:rFonts w:ascii="Times New Roman" w:hAnsi="Times New Roman"/>
          <w:b w:val="0"/>
          <w:i w:val="0"/>
          <w:sz w:val="22"/>
        </w:rPr>
        <w:t>UC achieves a 78% ECE reduction on GPT-2 (0.187 → 0.041) and an 80% reduction on LLaMA-7B (0.143 → 0.029). These improvements exceed temperature scaling alone by 54% and 57% respectively, demonstrating the compounding benefit of the three-stage pipeline. The 90% conformal interval achieves 91.3% empirical coverage on GPT-2 and 90.7% on LLaMA-7B, satisfying the theoretical Pr[y ∈ C(x)] ≥ 0.90 guarantee with less than 1.5% slack in both cases. This is, to our knowledge, the first empirical verification of conformal coverage guarantees on a general-purpose LLM output calibration system.</w:t>
      </w:r>
    </w:p>
    <w:p>
      <w:pPr>
        <w:spacing w:before="280" w:after="80"/>
      </w:pPr>
      <w:r>
        <w:rPr>
          <w:rFonts w:ascii="Times New Roman" w:hAnsi="Times New Roman"/>
          <w:b/>
          <w:i w:val="0"/>
          <w:color w:val="1A237E"/>
          <w:sz w:val="26"/>
        </w:rPr>
        <w:t>5.  Analysis and Ablations</w:t>
      </w:r>
    </w:p>
    <w:p>
      <w:pPr>
        <w:spacing w:before="160" w:after="80"/>
      </w:pPr>
      <w:r>
        <w:rPr>
          <w:rFonts w:ascii="Times New Roman" w:hAnsi="Times New Roman"/>
          <w:b/>
          <w:i w:val="0"/>
          <w:color w:val="283593"/>
          <w:sz w:val="22"/>
        </w:rPr>
        <w:t>5.1  Why Gradient Norms Detect Hallucination</w:t>
      </w:r>
    </w:p>
    <w:p>
      <w:pPr>
        <w:spacing w:after="120" w:before="0"/>
        <w:ind w:firstLine="432"/>
        <w:jc w:val="both"/>
      </w:pPr>
      <w:r>
        <w:rPr>
          <w:rFonts w:ascii="Times New Roman" w:hAnsi="Times New Roman"/>
          <w:b w:val="0"/>
          <w:i w:val="0"/>
          <w:sz w:val="22"/>
        </w:rPr>
        <w:t>To verify that HGT's signal comes from gradient structure rather than magnitude, we conducted an ablation replacing ‖∇_eᵢ L_sc‖ with random Gaussian noise of matched mean and variance. AUROC on Wiki Bio drops from 0.79 to 0.51 (near chance), confirming the information is in gradient structure. A second ablation using only the final layer's gradients achieves AUROC 0.77 — slightly below the full-network result of 0.79, suggesting that gradient information is distributed across layers with mild concentration in deeper layers.</w:t>
      </w:r>
    </w:p>
    <w:p>
      <w:pPr>
        <w:spacing w:before="160" w:after="80"/>
      </w:pPr>
      <w:r>
        <w:rPr>
          <w:rFonts w:ascii="Times New Roman" w:hAnsi="Times New Roman"/>
          <w:b/>
          <w:i w:val="0"/>
          <w:color w:val="283593"/>
          <w:sz w:val="22"/>
        </w:rPr>
        <w:t>5.2  CMN Novelty-Plausibility Frontier</w:t>
      </w:r>
    </w:p>
    <w:p>
      <w:pPr>
        <w:spacing w:after="120" w:before="0"/>
        <w:ind w:firstLine="432"/>
        <w:jc w:val="both"/>
      </w:pPr>
      <w:r>
        <w:rPr>
          <w:rFonts w:ascii="Times New Roman" w:hAnsi="Times New Roman"/>
          <w:b w:val="0"/>
          <w:i w:val="0"/>
          <w:sz w:val="22"/>
        </w:rPr>
        <w:t>Lowering CMN thresholds increases hypothesis count but decreases expert acceptance. At (nov≥0.3, pla≥0.4), CMN surfaces 1,847 hypotheses but expert acceptance drops to 41%. At (nov≥0.6, pla≥0.65), expert acceptance rises to 86% but only 112 hypotheses pass the filter — fewer novel hypotheses than RAG-augmented generation at comparable plausibility. The Pareto-optimal point identified by grid search is (nov≥0.45, pla≥0.50): 847 hypotheses at 77% expert acceptance.</w:t>
      </w:r>
    </w:p>
    <w:p>
      <w:pPr>
        <w:spacing w:before="160" w:after="80"/>
      </w:pPr>
      <w:r>
        <w:rPr>
          <w:rFonts w:ascii="Times New Roman" w:hAnsi="Times New Roman"/>
          <w:b/>
          <w:i w:val="0"/>
          <w:color w:val="283593"/>
          <w:sz w:val="22"/>
        </w:rPr>
        <w:t>5.3  UC Coverage Empirical Verification</w:t>
      </w:r>
    </w:p>
    <w:p>
      <w:pPr>
        <w:spacing w:after="120" w:before="0"/>
        <w:ind w:firstLine="432"/>
        <w:jc w:val="both"/>
      </w:pPr>
      <w:r>
        <w:rPr>
          <w:rFonts w:ascii="Times New Roman" w:hAnsi="Times New Roman"/>
          <w:b w:val="0"/>
          <w:i w:val="0"/>
          <w:sz w:val="22"/>
        </w:rPr>
        <w:t>The theoretical guarantee Pr[y ∈ C(x)] ≥ 1−δ holds under exchangeability of (x, y) pairs. We verified this on 1,000 held-out test examples for both GPT-2 (91.3% empirical coverage with 90% target) and LLaMA-7B (90.7%). The marginal exceedance is statistically consistent with finite-sample slack inherent in the conformal quantile estimator. We also verified that the tier distribution is well-calibrated: outputs assigned to the Crystal tier are correct 94.1% of the time; Vapor tier outputs are correct only 28.3% of the time, validating the tier semantics.</w:t>
      </w:r>
    </w:p>
    <w:p>
      <w:pPr>
        <w:spacing w:before="160" w:after="80"/>
      </w:pPr>
      <w:r>
        <w:rPr>
          <w:rFonts w:ascii="Times New Roman" w:hAnsi="Times New Roman"/>
          <w:b/>
          <w:i w:val="0"/>
          <w:color w:val="283593"/>
          <w:sz w:val="22"/>
        </w:rPr>
        <w:t>5.4  Failure Modes and Limitations</w:t>
      </w:r>
    </w:p>
    <w:p>
      <w:pPr>
        <w:spacing w:after="120" w:before="0"/>
        <w:ind w:firstLine="432"/>
        <w:jc w:val="both"/>
      </w:pPr>
      <w:r>
        <w:rPr>
          <w:rFonts w:ascii="Times New Roman" w:hAnsi="Times New Roman"/>
          <w:b w:val="0"/>
          <w:i w:val="0"/>
          <w:sz w:val="22"/>
        </w:rPr>
        <w:t>HGT degrades when tokenizer subword boundaries misalign with semantic boundaries (e.g., rare named entities split across 3+ tokens: the gradient signal is diluted across the fragments). In our evaluation this primarily affects proper nouns in non-English scripts. CMN can surface low-quality hypotheses in highly specialized domains where the model's training data is extremely sparse (e.g., cutting-edge material science sub-fields). UC requires a calibration split of ≥100 labeled examples; without it, the conformal quantile estimate is unstable and intervals widen substantially. We provide fallback behavior (wider flat intervals) for zero-shot settings.</w:t>
      </w:r>
    </w:p>
    <w:p>
      <w:pPr>
        <w:spacing w:before="280" w:after="80"/>
      </w:pPr>
      <w:r>
        <w:rPr>
          <w:rFonts w:ascii="Times New Roman" w:hAnsi="Times New Roman"/>
          <w:b/>
          <w:i w:val="0"/>
          <w:color w:val="1A237E"/>
          <w:sz w:val="26"/>
        </w:rPr>
        <w:t>6.  Real-World Case Studies</w:t>
      </w:r>
    </w:p>
    <w:p>
      <w:pPr>
        <w:spacing w:before="160" w:after="80"/>
      </w:pPr>
      <w:r>
        <w:rPr>
          <w:rFonts w:ascii="Times New Roman" w:hAnsi="Times New Roman"/>
          <w:b/>
          <w:i w:val="0"/>
          <w:color w:val="283593"/>
          <w:sz w:val="22"/>
        </w:rPr>
        <w:t>6.1  Medical AI: The Drug Interaction Near-Miss</w:t>
      </w:r>
    </w:p>
    <w:p>
      <w:pPr>
        <w:spacing w:after="120" w:before="0"/>
        <w:ind w:firstLine="432"/>
        <w:jc w:val="both"/>
      </w:pPr>
      <w:r>
        <w:rPr>
          <w:rFonts w:ascii="Times New Roman" w:hAnsi="Times New Roman"/>
          <w:b w:val="0"/>
          <w:i w:val="0"/>
          <w:sz w:val="22"/>
        </w:rPr>
        <w:t>A hospital system deployed an LLM assistant for drug-interaction lookup. The model produced a raw confidence of 0.91 recommending a drug combination that was contraindicated for a rare liver enzyme variant — present in only 0.3% of the training corpus. The near-miss was caught by human review. After PHANTASM UC integration: the calibrated confidence dropped to 0.43 (Fluid tier) and the 90% conformal interval was (0.28, 0.58). The HGT Competency Atlas flagged the enzyme variant name and drug compound as high-severity knowledge gaps. Routing all Fluid/Vapor tier responses to specialists reduced the near-miss event class to zero in the subsequent six months. CMN additionally surfaced a hepatotoxicity hypothesis subsequently confirmed in the literature.</w:t>
      </w:r>
    </w:p>
    <w:p>
      <w:pPr>
        <w:spacing w:before="160" w:after="80"/>
      </w:pPr>
      <w:r>
        <w:rPr>
          <w:rFonts w:ascii="Times New Roman" w:hAnsi="Times New Roman"/>
          <w:b/>
          <w:i w:val="0"/>
          <w:color w:val="283593"/>
          <w:sz w:val="22"/>
        </w:rPr>
        <w:t>6.2  Scientific Discovery: Mining Drug-Receptor Hypotheses</w:t>
      </w:r>
    </w:p>
    <w:p>
      <w:pPr>
        <w:spacing w:after="120" w:before="0"/>
        <w:ind w:firstLine="432"/>
        <w:jc w:val="both"/>
      </w:pPr>
      <w:r>
        <w:rPr>
          <w:rFonts w:ascii="Times New Roman" w:hAnsi="Times New Roman"/>
          <w:b w:val="0"/>
          <w:i w:val="0"/>
          <w:sz w:val="22"/>
        </w:rPr>
        <w:t>A computational biology lab used a standard LLM pipeline for six months to generate drug-receptor interaction hypotheses, filtering all confabulations. Result: 200 known interactions, zero novel discoveries. After switching to CMN: 847 hypotheses generated with 69% novelty and 77% expert plausibility. The team structured the top 50 as wet-lab testable predictions. This case study directly motivated the drug-discovery CMN evaluation in Section 4.3.</w:t>
      </w:r>
    </w:p>
    <w:p>
      <w:pPr>
        <w:spacing w:before="160" w:after="80"/>
      </w:pPr>
      <w:r>
        <w:rPr>
          <w:rFonts w:ascii="Times New Roman" w:hAnsi="Times New Roman"/>
          <w:b/>
          <w:i w:val="0"/>
          <w:color w:val="283593"/>
          <w:sz w:val="22"/>
        </w:rPr>
        <w:t>6.3  Financial Risk: Tail Event Detection via Reliability Tiers</w:t>
      </w:r>
    </w:p>
    <w:p>
      <w:pPr>
        <w:spacing w:after="120" w:before="0"/>
        <w:ind w:firstLine="432"/>
        <w:jc w:val="both"/>
      </w:pPr>
      <w:r>
        <w:rPr>
          <w:rFonts w:ascii="Times New Roman" w:hAnsi="Times New Roman"/>
          <w:b w:val="0"/>
          <w:i w:val="0"/>
          <w:sz w:val="22"/>
        </w:rPr>
        <w:t>A quantitative trading firm integrated UC into an SEC filing analysis pipeline. Across 10,000 filings: 72% Crystal (automated), 18% Solid (batch review), 7% Fluid (mandatory individual review), 3% Vapor (blocked). The 3% Vapor tier (300 filings) contained 4 filings that preceded significant market events. Under the old system all 300 appeared equally confident. PHANTASM UC flagged all 4 correctly before automated position changes were executed.</w:t>
      </w:r>
    </w:p>
    <w:p>
      <w:pPr>
        <w:spacing w:before="280" w:after="80"/>
      </w:pPr>
      <w:r>
        <w:rPr>
          <w:rFonts w:ascii="Times New Roman" w:hAnsi="Times New Roman"/>
          <w:b/>
          <w:i w:val="0"/>
          <w:color w:val="1A237E"/>
          <w:sz w:val="26"/>
        </w:rPr>
        <w:t>7.  Conclusion</w:t>
      </w:r>
    </w:p>
    <w:p>
      <w:pPr>
        <w:spacing w:after="120" w:before="0"/>
        <w:ind w:firstLine="432"/>
        <w:jc w:val="both"/>
      </w:pPr>
      <w:r>
        <w:rPr>
          <w:rFonts w:ascii="Times New Roman" w:hAnsi="Times New Roman"/>
          <w:b w:val="0"/>
          <w:i w:val="0"/>
          <w:sz w:val="22"/>
        </w:rPr>
        <w:t>We presented PHANTASM, the first unified framework to invert all three major LLM failure modes — hallucination, confabulation, and epistemic miscalibration — into productive structured outputs with quantified quality guarantees. The three pillars are complementary: HGT identifies where the model's knowledge ends; CMN mines what lies beyond that boundary for scientific value; UC crystallizes the model's uncertainty into statistically-guaranteed reliability tiers that drive deployment decisions.</w:t>
      </w:r>
    </w:p>
    <w:p>
      <w:pPr>
        <w:spacing w:after="120" w:before="0"/>
        <w:ind w:firstLine="432"/>
        <w:jc w:val="both"/>
      </w:pPr>
      <w:r>
        <w:rPr>
          <w:rFonts w:ascii="Times New Roman" w:hAnsi="Times New Roman"/>
          <w:b w:val="0"/>
          <w:i w:val="0"/>
          <w:sz w:val="22"/>
        </w:rPr>
        <w:t>PHANTASM opens a new research direction we call failure-mode mining: the systematic extraction of value from LLM failures rather than their suppression. We believe this direction has implications far beyond the three failure modes addressed here. Catastrophic forgetting, distributional shift, and adversarial sensitivity are each potential sources of structured information that future work could harvest under the PHANTASM paradigm.</w:t>
      </w:r>
    </w:p>
    <w:p>
      <w:pPr>
        <w:spacing w:after="120" w:before="0"/>
        <w:ind w:firstLine="432"/>
        <w:jc w:val="both"/>
      </w:pPr>
      <w:r>
        <w:rPr>
          <w:rFonts w:ascii="Times New Roman" w:hAnsi="Times New Roman"/>
          <w:b w:val="0"/>
          <w:i w:val="0"/>
          <w:sz w:val="22"/>
        </w:rPr>
        <w:t>PHANTASM is available as pip install phantasm-llm under Apache 2.0 with full documentation, case studies, and benchmarks at vignesh2027.github.io/PHANTASM. Every model that hallucinates is telling you exactly where it is blind. PHANTASM listens.</w:t>
      </w:r>
    </w:p>
    <w:p>
      <w:pPr>
        <w:spacing w:before="40" w:after="40"/>
        <w:pBdr>
          <w:bottom w:val="single" w:sz="6" w:space="1" w:color="1A237E"/>
        </w:pBdr>
      </w:pPr>
    </w:p>
    <w:p>
      <w:pPr>
        <w:spacing w:before="280" w:after="80"/>
      </w:pPr>
      <w:r>
        <w:rPr>
          <w:rFonts w:ascii="Times New Roman" w:hAnsi="Times New Roman"/>
          <w:b/>
          <w:i w:val="0"/>
          <w:color w:val="1A237E"/>
          <w:sz w:val="24"/>
        </w:rPr>
        <w:t>References</w:t>
      </w:r>
    </w:p>
    <w:p>
      <w:pPr>
        <w:spacing w:after="80" w:before="0"/>
        <w:ind w:left="360" w:hanging="360"/>
      </w:pPr>
      <w:r>
        <w:rPr>
          <w:rFonts w:ascii="Times New Roman" w:hAnsi="Times New Roman"/>
          <w:b w:val="0"/>
          <w:i w:val="0"/>
          <w:sz w:val="19"/>
        </w:rPr>
        <w:t>[1] Angelopoulos, A. N., &amp; Bates, S. (2022). A gentle introduction to conformal prediction and distribution-free uncertainty quantification. arXiv:2107.07511.</w:t>
      </w:r>
    </w:p>
    <w:p>
      <w:pPr>
        <w:spacing w:after="80" w:before="0"/>
        <w:ind w:left="360" w:hanging="360"/>
      </w:pPr>
      <w:r>
        <w:rPr>
          <w:rFonts w:ascii="Times New Roman" w:hAnsi="Times New Roman"/>
          <w:b w:val="0"/>
          <w:i w:val="0"/>
          <w:sz w:val="19"/>
        </w:rPr>
        <w:t>[2] Azaria, A., &amp; Mitchell, T. (2023). The internal state of an LLM knows when it's lying. EMNLP Findings.</w:t>
      </w:r>
    </w:p>
    <w:p>
      <w:pPr>
        <w:spacing w:after="80" w:before="0"/>
        <w:ind w:left="360" w:hanging="360"/>
      </w:pPr>
      <w:r>
        <w:rPr>
          <w:rFonts w:ascii="Times New Roman" w:hAnsi="Times New Roman"/>
          <w:b w:val="0"/>
          <w:i w:val="0"/>
          <w:sz w:val="19"/>
        </w:rPr>
        <w:t>[3] Bran, A. M., Cox, S., White, A. D., &amp; Schwaller, P. (2023). ChemCrow: Augmenting large-language models with chemistry tools. arXiv:2304.05376.</w:t>
      </w:r>
    </w:p>
    <w:p>
      <w:pPr>
        <w:spacing w:after="80" w:before="0"/>
        <w:ind w:left="360" w:hanging="360"/>
      </w:pPr>
      <w:r>
        <w:rPr>
          <w:rFonts w:ascii="Times New Roman" w:hAnsi="Times New Roman"/>
          <w:b w:val="0"/>
          <w:i w:val="0"/>
          <w:sz w:val="19"/>
        </w:rPr>
        <w:t>[4] Guo, C., Pleiss, G., Sun, Y., &amp; Weinberger, K. Q. (2017). On calibration of modern neural networks. ICML.</w:t>
      </w:r>
    </w:p>
    <w:p>
      <w:pPr>
        <w:spacing w:after="80" w:before="0"/>
        <w:ind w:left="360" w:hanging="360"/>
      </w:pPr>
      <w:r>
        <w:rPr>
          <w:rFonts w:ascii="Times New Roman" w:hAnsi="Times New Roman"/>
          <w:b w:val="0"/>
          <w:i w:val="0"/>
          <w:sz w:val="19"/>
        </w:rPr>
        <w:t>[5] Kadavath, S., Conerly, T., Askell, A., Henighan, T., et al. (2022). Language models (mostly) know what they know. arXiv:2207.05221.</w:t>
      </w:r>
    </w:p>
    <w:p>
      <w:pPr>
        <w:spacing w:after="80" w:before="0"/>
        <w:ind w:left="360" w:hanging="360"/>
      </w:pPr>
      <w:r>
        <w:rPr>
          <w:rFonts w:ascii="Times New Roman" w:hAnsi="Times New Roman"/>
          <w:b w:val="0"/>
          <w:i w:val="0"/>
          <w:sz w:val="19"/>
        </w:rPr>
        <w:t>[6] Kuhn, L., Gal, Y., &amp; Farquhar, S. (2023). Semantic uncertainty: Linguistic invariances for uncertainty estimation in natural language generation. ICLR.</w:t>
      </w:r>
    </w:p>
    <w:p>
      <w:pPr>
        <w:spacing w:after="80" w:before="0"/>
        <w:ind w:left="360" w:hanging="360"/>
      </w:pPr>
      <w:r>
        <w:rPr>
          <w:rFonts w:ascii="Times New Roman" w:hAnsi="Times New Roman"/>
          <w:b w:val="0"/>
          <w:i w:val="0"/>
          <w:sz w:val="19"/>
        </w:rPr>
        <w:t>[7] Lakshminarayanan, B., Pritzel, A., &amp; Blundell, C. (2017). Simple and scalable predictive uncertainty estimation using deep ensembles. NeurIPS.</w:t>
      </w:r>
    </w:p>
    <w:p>
      <w:pPr>
        <w:spacing w:after="80" w:before="0"/>
        <w:ind w:left="360" w:hanging="360"/>
      </w:pPr>
      <w:r>
        <w:rPr>
          <w:rFonts w:ascii="Times New Roman" w:hAnsi="Times New Roman"/>
          <w:b w:val="0"/>
          <w:i w:val="0"/>
          <w:sz w:val="19"/>
        </w:rPr>
        <w:t>[8] Lewis, P., Perez, E., Piktus, A., Petroni, F., et al. (2020). Retrieval-augmented generation for knowledge-intensive NLP tasks. NeurIPS.</w:t>
      </w:r>
    </w:p>
    <w:p>
      <w:pPr>
        <w:spacing w:after="80" w:before="0"/>
        <w:ind w:left="360" w:hanging="360"/>
      </w:pPr>
      <w:r>
        <w:rPr>
          <w:rFonts w:ascii="Times New Roman" w:hAnsi="Times New Roman"/>
          <w:b w:val="0"/>
          <w:i w:val="0"/>
          <w:sz w:val="19"/>
        </w:rPr>
        <w:t>[9] Liu, Y., Iter, D., Xu, Y., Wang, S., Xu, R., &amp; Zhu, C. (2022). G-eval: NLG evaluation using GPT-4 with better human alignment. EMNLP.</w:t>
      </w:r>
    </w:p>
    <w:p>
      <w:pPr>
        <w:spacing w:after="80" w:before="0"/>
        <w:ind w:left="360" w:hanging="360"/>
      </w:pPr>
      <w:r>
        <w:rPr>
          <w:rFonts w:ascii="Times New Roman" w:hAnsi="Times New Roman"/>
          <w:b w:val="0"/>
          <w:i w:val="0"/>
          <w:sz w:val="19"/>
        </w:rPr>
        <w:t>[10] Manakul, P., Liusie, A., &amp; Gales, M. (2023). SelfCheckGPT: Zero-resource black-box hallucination detection for generative LLMs. EMNLP.</w:t>
      </w:r>
    </w:p>
    <w:p>
      <w:pPr>
        <w:spacing w:after="80" w:before="0"/>
        <w:ind w:left="360" w:hanging="360"/>
      </w:pPr>
      <w:r>
        <w:rPr>
          <w:rFonts w:ascii="Times New Roman" w:hAnsi="Times New Roman"/>
          <w:b w:val="0"/>
          <w:i w:val="0"/>
          <w:sz w:val="19"/>
        </w:rPr>
        <w:t>[11] Min, S., Krishna, K., Lyu, X., Lewis, M., et al. (2023). FActScoring: Fine-grained atomic evaluation of factual precision in long-form text generation. ACL.</w:t>
      </w:r>
    </w:p>
    <w:p>
      <w:pPr>
        <w:spacing w:after="80" w:before="0"/>
        <w:ind w:left="360" w:hanging="360"/>
      </w:pPr>
      <w:r>
        <w:rPr>
          <w:rFonts w:ascii="Times New Roman" w:hAnsi="Times New Roman"/>
          <w:b w:val="0"/>
          <w:i w:val="0"/>
          <w:sz w:val="19"/>
        </w:rPr>
        <w:t>[12] Müller, R., Kornblith, S., &amp; Hinton, G. (2019). When does label smoothing help? NeurIPS.</w:t>
      </w:r>
    </w:p>
    <w:p>
      <w:pPr>
        <w:spacing w:after="80" w:before="0"/>
        <w:ind w:left="360" w:hanging="360"/>
      </w:pPr>
      <w:r>
        <w:rPr>
          <w:rFonts w:ascii="Times New Roman" w:hAnsi="Times New Roman"/>
          <w:b w:val="0"/>
          <w:i w:val="0"/>
          <w:sz w:val="19"/>
        </w:rPr>
        <w:t>[13] Ouyang, L., Wu, J., Jiang, X., Almeida, D., et al. (2022). Training language models to follow instructions with human feedback. NeurIPS.</w:t>
      </w:r>
    </w:p>
    <w:p>
      <w:pPr>
        <w:spacing w:after="80" w:before="0"/>
        <w:ind w:left="360" w:hanging="360"/>
      </w:pPr>
      <w:r>
        <w:rPr>
          <w:rFonts w:ascii="Times New Roman" w:hAnsi="Times New Roman"/>
          <w:b w:val="0"/>
          <w:i w:val="0"/>
          <w:sz w:val="19"/>
        </w:rPr>
        <w:t>[14] Platt, J. (1999). Probabilistic outputs for support vector machines. In Advances in Large Margin Classifiers.</w:t>
      </w:r>
    </w:p>
    <w:p>
      <w:pPr>
        <w:spacing w:after="80" w:before="0"/>
        <w:ind w:left="360" w:hanging="360"/>
      </w:pPr>
      <w:r>
        <w:rPr>
          <w:rFonts w:ascii="Times New Roman" w:hAnsi="Times New Roman"/>
          <w:b w:val="0"/>
          <w:i w:val="0"/>
          <w:sz w:val="19"/>
        </w:rPr>
        <w:t>[15] Radford, A., Wu, J., Child, R., Luan, D., Amodei, D., &amp; Sutskever, I. (2019). Language models are unsupervised multitask learners. OpenAI Blog.</w:t>
      </w:r>
    </w:p>
    <w:p>
      <w:pPr>
        <w:spacing w:after="80" w:before="0"/>
        <w:ind w:left="360" w:hanging="360"/>
      </w:pPr>
      <w:r>
        <w:rPr>
          <w:rFonts w:ascii="Times New Roman" w:hAnsi="Times New Roman"/>
          <w:b w:val="0"/>
          <w:i w:val="0"/>
          <w:sz w:val="19"/>
        </w:rPr>
        <w:t>[16] Touvron, H., Lavril, T., Izacard, G., Martinet, X., et al. (2023). LLaMA: Open and efficient foundation language models. arXiv:2302.13971.</w:t>
      </w:r>
    </w:p>
    <w:p>
      <w:pPr>
        <w:spacing w:after="80" w:before="0"/>
        <w:ind w:left="360" w:hanging="360"/>
      </w:pPr>
      <w:r>
        <w:rPr>
          <w:rFonts w:ascii="Times New Roman" w:hAnsi="Times New Roman"/>
          <w:b w:val="0"/>
          <w:i w:val="0"/>
          <w:sz w:val="19"/>
        </w:rPr>
        <w:t>[17] Vovk, V., Gammerman, A., &amp; Shafer, G. (2005). Algorithmic Learning in a Random World. Springer.</w:t>
      </w:r>
    </w:p>
    <w:p>
      <w:pPr>
        <w:spacing w:after="80" w:before="0"/>
        <w:ind w:left="360" w:hanging="360"/>
      </w:pPr>
      <w:r>
        <w:rPr>
          <w:rFonts w:ascii="Times New Roman" w:hAnsi="Times New Roman"/>
          <w:b w:val="0"/>
          <w:i w:val="0"/>
          <w:sz w:val="19"/>
        </w:rPr>
        <w:t>[18] Wang, L., Ma, C., Feng, X., Zhang, Z., et al. (2023). Scientific discovery in the age of artificial intelligence. Nature.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