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i w:val="0"/>
          <w:color w:val="1A237E"/>
          <w:sz w:val="32"/>
        </w:rPr>
        <w:t>PHANTASM: Inverting LLM Failure Modes into Productive Features</w:t>
        <w:br/>
        <w:t>via Probabilistic Hallucination-Aware Neural Transformation</w:t>
        <w:br/>
        <w:t>with Adaptive Synthesis Method</w:t>
      </w:r>
    </w:p>
    <w:p>
      <w:pPr>
        <w:spacing w:after="40"/>
        <w:jc w:val="center"/>
      </w:pPr>
      <w:r>
        <w:rPr>
          <w:rFonts w:ascii="Times New Roman" w:hAnsi="Times New Roman"/>
          <w:b w:val="0"/>
          <w:i w:val="0"/>
          <w:color w:val="000000"/>
          <w:sz w:val="26"/>
        </w:rPr>
        <w:t>Vignesh S</w:t>
      </w:r>
    </w:p>
    <w:p>
      <w:pPr>
        <w:spacing w:after="40"/>
        <w:jc w:val="center"/>
      </w:pPr>
      <w:r>
        <w:rPr>
          <w:rFonts w:ascii="Times New Roman" w:hAnsi="Times New Roman"/>
          <w:b w:val="0"/>
          <w:i/>
          <w:color w:val="000000"/>
          <w:sz w:val="22"/>
        </w:rPr>
        <w:t>Department of Computer Science and Engineering</w:t>
      </w:r>
    </w:p>
    <w:p>
      <w:pPr>
        <w:spacing w:after="40"/>
        <w:jc w:val="center"/>
      </w:pPr>
      <w:r>
        <w:rPr>
          <w:rFonts w:ascii="Times New Roman" w:hAnsi="Times New Roman"/>
          <w:b w:val="0"/>
          <w:i/>
          <w:color w:val="000000"/>
          <w:sz w:val="22"/>
        </w:rPr>
        <w:t>Takshashila University, Chennai, India</w:t>
      </w:r>
    </w:p>
    <w:p>
      <w:pPr>
        <w:spacing w:after="40"/>
        <w:jc w:val="center"/>
      </w:pPr>
      <w:r>
        <w:rPr>
          <w:rFonts w:ascii="Times New Roman" w:hAnsi="Times New Roman"/>
          <w:b w:val="0"/>
          <w:i w:val="0"/>
          <w:color w:val="1A237E"/>
          <w:sz w:val="22"/>
        </w:rPr>
        <w:t>applemacbook6sep2004@gmail.com</w:t>
      </w:r>
    </w:p>
    <w:p>
      <w:pPr>
        <w:spacing w:after="240"/>
        <w:jc w:val="center"/>
      </w:pPr>
      <w:r>
        <w:rPr>
          <w:rFonts w:ascii="Times New Roman" w:hAnsi="Times New Roman"/>
          <w:b w:val="0"/>
          <w:i/>
          <w:color w:val="283593"/>
          <w:sz w:val="18"/>
        </w:rPr>
        <w:t>Code: pip install phantasm-llm  ·  GitHub: github.com/vignesh2027/PHANTASM  ·  Dataset: huggingface.co/datasets/vigneshwar234/phantasm-hallucination-benchmark</w:t>
      </w:r>
    </w:p>
    <w:p>
      <w:pPr>
        <w:spacing w:before="40" w:after="40"/>
        <w:pBdr>
          <w:bottom w:val="single" w:sz="6" w:space="1" w:color="1A237E"/>
        </w:pBdr>
      </w:pPr>
    </w:p>
    <w:p>
      <w:pPr>
        <w:spacing w:before="200" w:after="80"/>
      </w:pPr>
      <w:r>
        <w:rPr>
          <w:rFonts w:ascii="Times New Roman" w:hAnsi="Times New Roman"/>
          <w:b/>
          <w:i w:val="0"/>
          <w:color w:val="1A237E"/>
          <w:sz w:val="24"/>
        </w:rPr>
        <w:t>Abstract</w:t>
      </w:r>
    </w:p>
    <w:p>
      <w:pPr>
        <w:spacing w:after="80"/>
        <w:ind w:left="432" w:right="432"/>
        <w:jc w:val="both"/>
      </w:pPr>
      <w:r>
        <w:rPr>
          <w:rFonts w:ascii="Times New Roman" w:hAnsi="Times New Roman"/>
          <w:b w:val="0"/>
          <w:i/>
          <w:sz w:val="20"/>
        </w:rPr>
        <w:t>Large language models (LLMs) exhibit three persistent failure modes — hallucination, confabulation, and epistemic miscalibration — that the research community has uniformly treated as defects to be suppressed. This paper presents a fundamentally different position: each failure mode encodes structured, reproducible, and mathematically tractable information that, when harvested rather than discarded, yields concrete value for knowledge mapping, scientific discovery, and reliable deployment. We present PHANTASM (Probabilistic Hallucination-Aware Neural Transformation with Adaptive Synthesis Method), the first unified inference-time framework that operationalizes this inversion. PHANTASM's three pillars are: (I) Hallucination Gradient Tracing (HGT), which exploits the gradient of a self-consistency loss with respect to input embeddings to produce a CompetencyAtlas — a per-token knowledge-boundary map requiring no ground-truth labels and a single forward-backward pass; (II) the Confabulation Mining Network (CMN), a contrastive dual-encoder that harvests novel, plausible scientific hypotheses directly from creative gap-filling outputs; and (III) Uncertainty Crystallization (UC), which chains Monte-Carlo Dropout, learned temperature scaling, and Conformal Prediction to produce statistically-guaranteed four-tier reliability classifications. PHANTASM operates post-hoc on any HuggingFace causal LM without weight modification. On the publicly released PHANTASM Hallucination Benchmark (huggingface.co/datasets/vigneshwar234/phantasm-hallucination-benchmark) and two existing benchmarks, HGT achieves AUROC 0.83 on LLaMA-7B (+9.2% over SelfCheckGPT, 10× fewer forward passes). UC reduces ECE from 0.187 to 0.041 on GPT-2 (78% improvement, first LLM system with Conformal coverage guarantees). CMN surfaces 847 hypotheses with Novelty@5 = 0.67 at 77% expert plausibility (8.4× more novel than standard filtering). Three longitudinal real-world case studies — spanning medical AI, computational drug discovery, and financial risk — demonstrate measurable downstream impact. PHANTASM is released as phantasm-llm on PyPI under Apache 2.0.</w:t>
      </w:r>
    </w:p>
    <w:p>
      <w:pPr>
        <w:spacing w:after="200"/>
        <w:ind w:left="432"/>
      </w:pPr>
      <w:r>
        <w:rPr>
          <w:rFonts w:ascii="Times New Roman" w:hAnsi="Times New Roman"/>
          <w:b/>
          <w:i w:val="0"/>
          <w:sz w:val="20"/>
        </w:rPr>
        <w:t xml:space="preserve">Keywords: </w:t>
      </w:r>
      <w:r>
        <w:rPr>
          <w:rFonts w:ascii="Times New Roman" w:hAnsi="Times New Roman"/>
          <w:b w:val="0"/>
          <w:i/>
          <w:sz w:val="20"/>
        </w:rPr>
        <w:t>hallucination detection · confabulation mining · uncertainty calibration · conformal prediction · knowledge boundaries · scientific hypothesis generation · LLM reliability · PyTorch · HuggingFace</w:t>
      </w:r>
    </w:p>
    <w:p>
      <w:pPr>
        <w:spacing w:before="40" w:after="40"/>
        <w:pBdr>
          <w:bottom w:val="single" w:sz="6" w:space="1" w:color="1A237E"/>
        </w:pBdr>
      </w:pPr>
    </w:p>
    <w:p>
      <w:pPr>
        <w:spacing w:before="280" w:after="80"/>
      </w:pPr>
      <w:r>
        <w:rPr>
          <w:rFonts w:ascii="Times New Roman" w:hAnsi="Times New Roman"/>
          <w:b/>
          <w:i w:val="0"/>
          <w:color w:val="1A237E"/>
          <w:sz w:val="26"/>
        </w:rPr>
        <w:t>1.  Introduction</w:t>
      </w:r>
    </w:p>
    <w:p>
      <w:pPr>
        <w:spacing w:before="0" w:after="140"/>
        <w:ind w:firstLine="432"/>
        <w:jc w:val="both"/>
      </w:pPr>
      <w:r>
        <w:rPr>
          <w:rFonts w:ascii="Times New Roman" w:hAnsi="Times New Roman"/>
          <w:b w:val="0"/>
          <w:i w:val="0"/>
          <w:sz w:val="22"/>
        </w:rPr>
        <w:t>The landscape of large language model (LLM) reliability research rests on a single implicit axiom: failure modes are defects, and the goal of the field is to eliminate them. Retrieval-Augmented Generation (RAG) [Lewis et al., 2020] grounds generation in retrieved documents to prevent hallucination. Reinforcement Learning from Human Feedback (RLHF) [Ouyang et al., 2022] penalizes hallucinated outputs during training. Fact-verification pipelines [Min et al., 2023] detect and reject non-factual generations. SelfCheckGPT [Manakul et al., 2023] samples N outputs and flags inconsistencies as hallucination. Every one of these frameworks treats the hallucinated output as waste — something to be caught, penalized, and discarded.</w:t>
      </w:r>
    </w:p>
    <w:p>
      <w:pPr>
        <w:spacing w:before="0" w:after="140"/>
        <w:ind w:firstLine="432"/>
        <w:jc w:val="both"/>
      </w:pPr>
      <w:r>
        <w:rPr>
          <w:rFonts w:ascii="Times New Roman" w:hAnsi="Times New Roman"/>
          <w:b w:val="0"/>
          <w:i w:val="0"/>
          <w:sz w:val="22"/>
        </w:rPr>
        <w:t>This paper challenges that axiom at its foundation. We identify three observations that the literature has not collectively operationalized:</w:t>
      </w:r>
    </w:p>
    <w:p>
      <w:pPr>
        <w:pStyle w:val="ListBullet"/>
        <w:spacing w:after="80" w:before="0"/>
      </w:pPr>
      <w:r>
        <w:rPr>
          <w:rFonts w:ascii="Times New Roman" w:hAnsi="Times New Roman"/>
          <w:b/>
          <w:i w:val="0"/>
          <w:sz w:val="22"/>
        </w:rPr>
        <w:t xml:space="preserve">Observation 1. </w:t>
      </w:r>
      <w:r>
        <w:rPr>
          <w:rFonts w:ascii="Times New Roman" w:hAnsi="Times New Roman"/>
          <w:b w:val="0"/>
          <w:i w:val="0"/>
          <w:sz w:val="22"/>
        </w:rPr>
        <w:t xml:space="preserve"> When a model hallucinates at token position i, it does so because the gradient landscape at that embedding is steep. This is not noise — it is a precise, reproducible, gradient-traceable signal about where the model's training distribution ends. The hallucination is the map.</w:t>
      </w:r>
    </w:p>
    <w:p>
      <w:pPr>
        <w:pStyle w:val="ListBullet"/>
        <w:spacing w:after="80" w:before="0"/>
      </w:pPr>
      <w:r>
        <w:rPr>
          <w:rFonts w:ascii="Times New Roman" w:hAnsi="Times New Roman"/>
          <w:b/>
          <w:i w:val="0"/>
          <w:sz w:val="22"/>
        </w:rPr>
        <w:t xml:space="preserve">Observation 2. </w:t>
      </w:r>
      <w:r>
        <w:rPr>
          <w:rFonts w:ascii="Times New Roman" w:hAnsi="Times New Roman"/>
          <w:b w:val="0"/>
          <w:i w:val="0"/>
          <w:sz w:val="22"/>
        </w:rPr>
        <w:t xml:space="preserve"> When a model confabulates — creatively fills a knowledge gap — it recombines real learned concepts in ways the training data never explicitly charted. Those recombinations are, by definition, novel concept-combination hypotheses. The confabulation is the discovery.</w:t>
      </w:r>
    </w:p>
    <w:p>
      <w:pPr>
        <w:pStyle w:val="ListBullet"/>
        <w:spacing w:after="80" w:before="0"/>
      </w:pPr>
      <w:r>
        <w:rPr>
          <w:rFonts w:ascii="Times New Roman" w:hAnsi="Times New Roman"/>
          <w:b/>
          <w:i w:val="0"/>
          <w:sz w:val="22"/>
        </w:rPr>
        <w:t xml:space="preserve">Observation 3. </w:t>
      </w:r>
      <w:r>
        <w:rPr>
          <w:rFonts w:ascii="Times New Roman" w:hAnsi="Times New Roman"/>
          <w:b w:val="0"/>
          <w:i w:val="0"/>
          <w:sz w:val="22"/>
        </w:rPr>
        <w:t xml:space="preserve"> When a model is overconfident on a wrong answer, the structural pattern of that overconfidence encodes which training distributions were over-represented. The miscalibration is the calibration data.</w:t>
      </w:r>
    </w:p>
    <w:p>
      <w:pPr>
        <w:spacing w:before="0" w:after="140"/>
        <w:ind w:firstLine="432"/>
        <w:jc w:val="both"/>
      </w:pPr>
      <w:r>
        <w:rPr>
          <w:rFonts w:ascii="Times New Roman" w:hAnsi="Times New Roman"/>
          <w:b w:val="0"/>
          <w:i w:val="0"/>
          <w:sz w:val="22"/>
        </w:rPr>
        <w:t>From these observations we derive PHANTASM — a three-pillar framework that harvests LLM failures instead of suppressing them. We are not merely proposing a better hallucination detector; we are proposing a paradigm change. The three pillars — HGT, CMN, and UC — produce respectively: a CompetencyAtlas (knowledge-boundary map), a ranked list of novel scientific hypotheses, and a statistically-guaranteed reliability tier with calibrated confidence intervals. Together they demonstrate that every hallucination, confabulation, and miscalibration an LLM produces is telling you something useful. PHANTASM listens.</w:t>
      </w:r>
    </w:p>
    <w:p>
      <w:pPr>
        <w:spacing w:before="200" w:after="60"/>
      </w:pPr>
      <w:r>
        <w:rPr>
          <w:rFonts w:ascii="Times New Roman" w:hAnsi="Times New Roman"/>
          <w:b/>
          <w:i w:val="0"/>
          <w:color w:val="283593"/>
          <w:sz w:val="22"/>
        </w:rPr>
        <w:t>1.1  Summary of Contributions</w:t>
      </w:r>
    </w:p>
    <w:p>
      <w:pPr>
        <w:pStyle w:val="ListBullet"/>
        <w:spacing w:after="80" w:before="0"/>
      </w:pPr>
      <w:r>
        <w:rPr>
          <w:rFonts w:ascii="Times New Roman" w:hAnsi="Times New Roman"/>
          <w:b/>
          <w:i w:val="0"/>
          <w:sz w:val="22"/>
        </w:rPr>
        <w:t xml:space="preserve">Pillar I — </w:t>
      </w:r>
      <w:r>
        <w:rPr>
          <w:rFonts w:ascii="Times New Roman" w:hAnsi="Times New Roman"/>
          <w:b w:val="0"/>
          <w:i w:val="0"/>
          <w:sz w:val="22"/>
        </w:rPr>
        <w:t xml:space="preserve"> HGT: No-ground-truth, single-pass knowledge-boundary mapper via embedding-layer gradients.</w:t>
      </w:r>
    </w:p>
    <w:p>
      <w:pPr>
        <w:pStyle w:val="ListBullet"/>
        <w:spacing w:after="80" w:before="0"/>
      </w:pPr>
      <w:r>
        <w:rPr>
          <w:rFonts w:ascii="Times New Roman" w:hAnsi="Times New Roman"/>
          <w:b/>
          <w:i w:val="0"/>
          <w:sz w:val="22"/>
        </w:rPr>
        <w:t xml:space="preserve">Pillar II — </w:t>
      </w:r>
      <w:r>
        <w:rPr>
          <w:rFonts w:ascii="Times New Roman" w:hAnsi="Times New Roman"/>
          <w:b w:val="0"/>
          <w:i w:val="0"/>
          <w:sz w:val="22"/>
        </w:rPr>
        <w:t xml:space="preserve"> CMN: Contrastive dual-encoder converting confabulations into ranked scientific hypotheses.</w:t>
      </w:r>
    </w:p>
    <w:p>
      <w:pPr>
        <w:pStyle w:val="ListBullet"/>
        <w:spacing w:after="80" w:before="0"/>
      </w:pPr>
      <w:r>
        <w:rPr>
          <w:rFonts w:ascii="Times New Roman" w:hAnsi="Times New Roman"/>
          <w:b/>
          <w:i w:val="0"/>
          <w:sz w:val="22"/>
        </w:rPr>
        <w:t xml:space="preserve">Pillar III — </w:t>
      </w:r>
      <w:r>
        <w:rPr>
          <w:rFonts w:ascii="Times New Roman" w:hAnsi="Times New Roman"/>
          <w:b w:val="0"/>
          <w:i w:val="0"/>
          <w:sz w:val="22"/>
        </w:rPr>
        <w:t xml:space="preserve"> UC: Three-stage calibration pipeline with provably-correct Conformal coverage tiers.</w:t>
      </w:r>
    </w:p>
    <w:p>
      <w:pPr>
        <w:pStyle w:val="ListBullet"/>
        <w:spacing w:after="80" w:before="0"/>
      </w:pPr>
      <w:r>
        <w:rPr>
          <w:rFonts w:ascii="Times New Roman" w:hAnsi="Times New Roman"/>
          <w:b/>
          <w:i w:val="0"/>
          <w:sz w:val="22"/>
        </w:rPr>
        <w:t xml:space="preserve">Open release — </w:t>
      </w:r>
      <w:r>
        <w:rPr>
          <w:rFonts w:ascii="Times New Roman" w:hAnsi="Times New Roman"/>
          <w:b w:val="0"/>
          <w:i w:val="0"/>
          <w:sz w:val="22"/>
        </w:rPr>
        <w:t xml:space="preserve"> PHANTASMPipeline wrapping any HuggingFace causal LM; released as phantasm-llm (PyPI, Apache 2.0).</w:t>
      </w:r>
    </w:p>
    <w:p>
      <w:pPr>
        <w:pStyle w:val="ListBullet"/>
        <w:spacing w:after="80" w:before="0"/>
      </w:pPr>
      <w:r>
        <w:rPr>
          <w:rFonts w:ascii="Times New Roman" w:hAnsi="Times New Roman"/>
          <w:b/>
          <w:i w:val="0"/>
          <w:sz w:val="22"/>
        </w:rPr>
        <w:t xml:space="preserve">New dataset — </w:t>
      </w:r>
      <w:r>
        <w:rPr>
          <w:rFonts w:ascii="Times New Roman" w:hAnsi="Times New Roman"/>
          <w:b w:val="0"/>
          <w:i w:val="0"/>
          <w:sz w:val="22"/>
        </w:rPr>
        <w:t xml:space="preserve"> PHANTASM Hallucination Benchmark: 70 annotated examples across 3 pillars on HuggingFace Hub (vigneshwar234/phantasm-hallucination-benchmark).</w:t>
      </w:r>
    </w:p>
    <w:p>
      <w:pPr>
        <w:pStyle w:val="ListBullet"/>
        <w:spacing w:after="80" w:before="0"/>
      </w:pPr>
      <w:r>
        <w:rPr>
          <w:rFonts w:ascii="Times New Roman" w:hAnsi="Times New Roman"/>
          <w:b/>
          <w:i w:val="0"/>
          <w:sz w:val="22"/>
        </w:rPr>
        <w:t xml:space="preserve">Case studies — </w:t>
      </w:r>
      <w:r>
        <w:rPr>
          <w:rFonts w:ascii="Times New Roman" w:hAnsi="Times New Roman"/>
          <w:b w:val="0"/>
          <w:i w:val="0"/>
          <w:sz w:val="22"/>
        </w:rPr>
        <w:t xml:space="preserve"> Three longitudinal real-world case studies demonstrating measurable downstream impact.</w:t>
      </w:r>
    </w:p>
    <w:p>
      <w:pPr>
        <w:spacing w:before="280" w:after="80"/>
      </w:pPr>
      <w:r>
        <w:rPr>
          <w:rFonts w:ascii="Times New Roman" w:hAnsi="Times New Roman"/>
          <w:b/>
          <w:i w:val="0"/>
          <w:color w:val="1A237E"/>
          <w:sz w:val="26"/>
        </w:rPr>
        <w:t>2.  Related Work</w:t>
      </w:r>
    </w:p>
    <w:p>
      <w:pPr>
        <w:spacing w:before="200" w:after="60"/>
      </w:pPr>
      <w:r>
        <w:rPr>
          <w:rFonts w:ascii="Times New Roman" w:hAnsi="Times New Roman"/>
          <w:b/>
          <w:i w:val="0"/>
          <w:color w:val="283593"/>
          <w:sz w:val="22"/>
        </w:rPr>
        <w:t>2.1  Hallucination Detection</w:t>
      </w:r>
    </w:p>
    <w:p>
      <w:pPr>
        <w:spacing w:before="0" w:after="140"/>
        <w:ind w:firstLine="432"/>
        <w:jc w:val="both"/>
      </w:pPr>
      <w:r>
        <w:rPr>
          <w:rFonts w:ascii="Times New Roman" w:hAnsi="Times New Roman"/>
          <w:b w:val="0"/>
          <w:i w:val="0"/>
          <w:sz w:val="22"/>
        </w:rPr>
        <w:t>Hallucination in LLMs has been studied through three major lenses. Internal-state probing [Azaria &amp; Mitchell, 2023; Burns et al., 2022] trains lightweight classifiers on hidden states to predict factuality — requiring labeled training data and access to intermediate representations. Sampling-based consistency [Manakul et al., 2023; Wang et al., 2022] generates multiple outputs and uses pairwise agreement as a hallucination proxy — requiring N ≥ 10 forward passes per query, multiplying inference cost by N. External verification [Min et al., 2023; Guo et al., 2022] decomposes outputs into atomic claims and verifies them against a retrieval corpus — requiring an external knowledge base, a retriever, and a fine-tuned entailment model. HGT requires none of these: one forward + one backward pass on the model's own output, no labels, no external systems. The closest prior work is gradient-based saliency [Sundararajan et al., 2017], but saliency maps have not previously been applied to hallucination boundary detection or reformulated as a knowledge-mapping tool.</w:t>
      </w:r>
    </w:p>
    <w:p>
      <w:pPr>
        <w:spacing w:before="200" w:after="60"/>
      </w:pPr>
      <w:r>
        <w:rPr>
          <w:rFonts w:ascii="Times New Roman" w:hAnsi="Times New Roman"/>
          <w:b/>
          <w:i w:val="0"/>
          <w:color w:val="283593"/>
          <w:sz w:val="22"/>
        </w:rPr>
        <w:t>2.2  Calibration and Uncertainty</w:t>
      </w:r>
    </w:p>
    <w:p>
      <w:pPr>
        <w:spacing w:before="0" w:after="140"/>
        <w:ind w:firstLine="432"/>
        <w:jc w:val="both"/>
      </w:pPr>
      <w:r>
        <w:rPr>
          <w:rFonts w:ascii="Times New Roman" w:hAnsi="Times New Roman"/>
          <w:b w:val="0"/>
          <w:i w:val="0"/>
          <w:sz w:val="22"/>
        </w:rPr>
        <w:t>Post-hoc calibration methods include temperature scaling [Guo et al., 2017], Platt scaling [Platt, 1999], isotonic regression [Zadrozny &amp; Elkan, 2002], and Dirichlet calibration [Kull et al., 2019]. Bayesian methods such as MC-Dropout [Gal &amp; Ghahramani, 2016] and deep ensembles [Lakshminarayanan et al., 2017] provide uncertainty distributions. Conformal Prediction [Vovk et al., 2005; Angelopoulos &amp; Bates, 2022] provides distribution-free coverage guarantees. No prior LLM calibration work combines all three stages — MC-Dropout, temperature scaling, and Conformal Prediction — into a single deployable pipeline with actionable reliability tiers. UC is the first to do so, and provides the first empirically-verified Conformal coverage guarantee on a general-purpose LLM output calibration system.</w:t>
      </w:r>
    </w:p>
    <w:p>
      <w:pPr>
        <w:spacing w:before="200" w:after="60"/>
      </w:pPr>
      <w:r>
        <w:rPr>
          <w:rFonts w:ascii="Times New Roman" w:hAnsi="Times New Roman"/>
          <w:b/>
          <w:i w:val="0"/>
          <w:color w:val="283593"/>
          <w:sz w:val="22"/>
        </w:rPr>
        <w:t>2.3  Hypothesis Generation and Scientific Discovery</w:t>
      </w:r>
    </w:p>
    <w:p>
      <w:pPr>
        <w:spacing w:before="0" w:after="140"/>
        <w:ind w:firstLine="432"/>
        <w:jc w:val="both"/>
      </w:pPr>
      <w:r>
        <w:rPr>
          <w:rFonts w:ascii="Times New Roman" w:hAnsi="Times New Roman"/>
          <w:b w:val="0"/>
          <w:i w:val="0"/>
          <w:sz w:val="22"/>
        </w:rPr>
        <w:t>LLMs have been applied to scientific hypothesis generation via chain-of-thought prompting [Wei et al., 2022], RAG-augmented generation [Lewis et al., 2020], and specialized tools like ChemCrow [Bran et al., 2023] for chemistry. All existing approaches explicitly filter confabulations — treating non-grounded creative outputs as noise. CMN is the first framework to treat confabulations as primary material, introducing a formal contrastive novelty-plausibility criterion and demonstrating 8.4× greater novelty at 77% expert plausibility compared to standard filtering on a drug-discovery evaluation set.</w:t>
      </w:r>
    </w:p>
    <w:p>
      <w:pPr>
        <w:spacing w:before="200" w:after="60"/>
      </w:pPr>
      <w:r>
        <w:rPr>
          <w:rFonts w:ascii="Times New Roman" w:hAnsi="Times New Roman"/>
          <w:b/>
          <w:i w:val="0"/>
          <w:color w:val="283593"/>
          <w:sz w:val="22"/>
        </w:rPr>
        <w:t>2.4  Comparison with Closest Methods</w:t>
      </w:r>
    </w:p>
    <w:p>
      <w:pPr>
        <w:spacing w:before="160" w:after="80"/>
        <w:jc w:val="center"/>
      </w:pPr>
      <w:r>
        <w:rPr>
          <w:rFonts w:ascii="Times New Roman" w:hAnsi="Times New Roman"/>
          <w:b/>
          <w:i w:val="0"/>
          <w:sz w:val="20"/>
        </w:rPr>
        <w:t>Table 1. PHANTASM vs. closest related methods across all three axes.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2016"/>
            <w:shd w:val="clear" w:color="auto" w:fill="1A237E"/>
            <w:vAlign w:val="center"/>
          </w:tcPr>
          <w:p>
            <w:pPr>
              <w:jc w:val="center"/>
            </w:pPr>
            <w:r>
              <w:rPr>
                <w:rFonts w:ascii="Times New Roman" w:hAnsi="Times New Roman"/>
                <w:b/>
                <w:i w:val="0"/>
                <w:color w:val="FFFFFF"/>
                <w:sz w:val="20"/>
              </w:rPr>
              <w:t>Method</w:t>
            </w:r>
          </w:p>
        </w:tc>
        <w:tc>
          <w:tcPr>
            <w:tcW w:type="dxa" w:w="1296"/>
            <w:shd w:val="clear" w:color="auto" w:fill="1A237E"/>
            <w:vAlign w:val="center"/>
          </w:tcPr>
          <w:p>
            <w:pPr>
              <w:jc w:val="center"/>
            </w:pPr>
            <w:r>
              <w:rPr>
                <w:rFonts w:ascii="Times New Roman" w:hAnsi="Times New Roman"/>
                <w:b/>
                <w:i w:val="0"/>
                <w:color w:val="FFFFFF"/>
                <w:sz w:val="20"/>
              </w:rPr>
              <w:t>Pillar</w:t>
            </w:r>
          </w:p>
        </w:tc>
        <w:tc>
          <w:tcPr>
            <w:tcW w:type="dxa" w:w="1440"/>
            <w:shd w:val="clear" w:color="auto" w:fill="1A237E"/>
            <w:vAlign w:val="center"/>
          </w:tcPr>
          <w:p>
            <w:pPr>
              <w:jc w:val="center"/>
            </w:pPr>
            <w:r>
              <w:rPr>
                <w:rFonts w:ascii="Times New Roman" w:hAnsi="Times New Roman"/>
                <w:b/>
                <w:i w:val="0"/>
                <w:color w:val="FFFFFF"/>
                <w:sz w:val="20"/>
              </w:rPr>
              <w:t>Labels</w:t>
              <w:br/>
              <w:t>Required?</w:t>
            </w:r>
          </w:p>
        </w:tc>
        <w:tc>
          <w:tcPr>
            <w:tcW w:type="dxa" w:w="1368"/>
            <w:shd w:val="clear" w:color="auto" w:fill="1A237E"/>
            <w:vAlign w:val="center"/>
          </w:tcPr>
          <w:p>
            <w:pPr>
              <w:jc w:val="center"/>
            </w:pPr>
            <w:r>
              <w:rPr>
                <w:rFonts w:ascii="Times New Roman" w:hAnsi="Times New Roman"/>
                <w:b/>
                <w:i w:val="0"/>
                <w:color w:val="FFFFFF"/>
                <w:sz w:val="20"/>
              </w:rPr>
              <w:t>Forward</w:t>
              <w:br/>
              <w:t>Passes</w:t>
            </w:r>
          </w:p>
        </w:tc>
        <w:tc>
          <w:tcPr>
            <w:tcW w:type="dxa" w:w="1656"/>
            <w:shd w:val="clear" w:color="auto" w:fill="1A237E"/>
            <w:vAlign w:val="center"/>
          </w:tcPr>
          <w:p>
            <w:pPr>
              <w:jc w:val="center"/>
            </w:pPr>
            <w:r>
              <w:rPr>
                <w:rFonts w:ascii="Times New Roman" w:hAnsi="Times New Roman"/>
                <w:b/>
                <w:i w:val="0"/>
                <w:color w:val="FFFFFF"/>
                <w:sz w:val="20"/>
              </w:rPr>
              <w:t>Coverage</w:t>
              <w:br/>
              <w:t>Guarantee?</w:t>
            </w:r>
          </w:p>
        </w:tc>
        <w:tc>
          <w:tcPr>
            <w:tcW w:type="dxa" w:w="1800"/>
            <w:shd w:val="clear" w:color="auto" w:fill="1A237E"/>
            <w:vAlign w:val="center"/>
          </w:tcPr>
          <w:p>
            <w:pPr>
              <w:jc w:val="center"/>
            </w:pPr>
            <w:r>
              <w:rPr>
                <w:rFonts w:ascii="Times New Roman" w:hAnsi="Times New Roman"/>
                <w:b/>
                <w:i w:val="0"/>
                <w:color w:val="FFFFFF"/>
                <w:sz w:val="20"/>
              </w:rPr>
              <w:t>Hypothesis</w:t>
              <w:br/>
              <w:t>Mining?</w:t>
            </w:r>
          </w:p>
        </w:tc>
      </w:tr>
      <w:tr>
        <w:tc>
          <w:tcPr>
            <w:tcW w:type="dxa" w:w="2016"/>
            <w:shd w:val="clear" w:color="auto" w:fill="F3F4FF"/>
            <w:vAlign w:val="center"/>
          </w:tcPr>
          <w:p>
            <w:pPr>
              <w:jc w:val="center"/>
            </w:pPr>
            <w:r>
              <w:rPr>
                <w:rFonts w:ascii="Times New Roman" w:hAnsi="Times New Roman"/>
                <w:b w:val="0"/>
                <w:i w:val="0"/>
                <w:sz w:val="20"/>
              </w:rPr>
              <w:t>SAPLMA</w:t>
            </w:r>
          </w:p>
        </w:tc>
        <w:tc>
          <w:tcPr>
            <w:tcW w:type="dxa" w:w="1296"/>
            <w:shd w:val="clear" w:color="auto" w:fill="F3F4FF"/>
            <w:vAlign w:val="center"/>
          </w:tcPr>
          <w:p>
            <w:pPr>
              <w:jc w:val="center"/>
            </w:pPr>
            <w:r>
              <w:rPr>
                <w:rFonts w:ascii="Times New Roman" w:hAnsi="Times New Roman"/>
                <w:b w:val="0"/>
                <w:i w:val="0"/>
                <w:sz w:val="20"/>
              </w:rPr>
              <w:t>HGT equiv.</w:t>
            </w:r>
          </w:p>
        </w:tc>
        <w:tc>
          <w:tcPr>
            <w:tcW w:type="dxa" w:w="1440"/>
            <w:shd w:val="clear" w:color="auto" w:fill="F3F4FF"/>
            <w:vAlign w:val="center"/>
          </w:tcPr>
          <w:p>
            <w:pPr>
              <w:jc w:val="center"/>
            </w:pPr>
            <w:r>
              <w:rPr>
                <w:rFonts w:ascii="Times New Roman" w:hAnsi="Times New Roman"/>
                <w:b w:val="0"/>
                <w:i w:val="0"/>
                <w:sz w:val="20"/>
              </w:rPr>
              <w:t>Yes</w:t>
            </w:r>
          </w:p>
        </w:tc>
        <w:tc>
          <w:tcPr>
            <w:tcW w:type="dxa" w:w="1368"/>
            <w:shd w:val="clear" w:color="auto" w:fill="F3F4FF"/>
            <w:vAlign w:val="center"/>
          </w:tcPr>
          <w:p>
            <w:pPr>
              <w:jc w:val="center"/>
            </w:pPr>
            <w:r>
              <w:rPr>
                <w:rFonts w:ascii="Times New Roman" w:hAnsi="Times New Roman"/>
                <w:b w:val="0"/>
                <w:i w:val="0"/>
                <w:sz w:val="20"/>
              </w:rPr>
              <w:t>1</w:t>
            </w:r>
          </w:p>
        </w:tc>
        <w:tc>
          <w:tcPr>
            <w:tcW w:type="dxa" w:w="1656"/>
            <w:shd w:val="clear" w:color="auto" w:fill="F3F4FF"/>
            <w:vAlign w:val="center"/>
          </w:tcPr>
          <w:p>
            <w:pPr>
              <w:jc w:val="center"/>
            </w:pPr>
            <w:r>
              <w:rPr>
                <w:rFonts w:ascii="Times New Roman" w:hAnsi="Times New Roman"/>
                <w:b w:val="0"/>
                <w:i w:val="0"/>
                <w:sz w:val="20"/>
              </w:rPr>
              <w:t>No</w:t>
            </w:r>
          </w:p>
        </w:tc>
        <w:tc>
          <w:tcPr>
            <w:tcW w:type="dxa" w:w="1800"/>
            <w:shd w:val="clear" w:color="auto" w:fill="F3F4FF"/>
            <w:vAlign w:val="center"/>
          </w:tcPr>
          <w:p>
            <w:pPr>
              <w:jc w:val="center"/>
            </w:pPr>
            <w:r>
              <w:rPr>
                <w:rFonts w:ascii="Times New Roman" w:hAnsi="Times New Roman"/>
                <w:b w:val="0"/>
                <w:i w:val="0"/>
                <w:sz w:val="20"/>
              </w:rPr>
              <w:t>No</w:t>
            </w:r>
          </w:p>
        </w:tc>
      </w:tr>
      <w:tr>
        <w:tc>
          <w:tcPr>
            <w:tcW w:type="dxa" w:w="2016"/>
            <w:vAlign w:val="center"/>
          </w:tcPr>
          <w:p>
            <w:pPr>
              <w:jc w:val="center"/>
            </w:pPr>
            <w:r>
              <w:rPr>
                <w:rFonts w:ascii="Times New Roman" w:hAnsi="Times New Roman"/>
                <w:b w:val="0"/>
                <w:i w:val="0"/>
                <w:sz w:val="20"/>
              </w:rPr>
              <w:t>SelfCheckGPT</w:t>
            </w:r>
          </w:p>
        </w:tc>
        <w:tc>
          <w:tcPr>
            <w:tcW w:type="dxa" w:w="1296"/>
            <w:vAlign w:val="center"/>
          </w:tcPr>
          <w:p>
            <w:pPr>
              <w:jc w:val="center"/>
            </w:pPr>
            <w:r>
              <w:rPr>
                <w:rFonts w:ascii="Times New Roman" w:hAnsi="Times New Roman"/>
                <w:b w:val="0"/>
                <w:i w:val="0"/>
                <w:sz w:val="20"/>
              </w:rPr>
              <w:t>HGT equiv.</w:t>
            </w:r>
          </w:p>
        </w:tc>
        <w:tc>
          <w:tcPr>
            <w:tcW w:type="dxa" w:w="1440"/>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N=20</w:t>
            </w:r>
          </w:p>
        </w:tc>
        <w:tc>
          <w:tcPr>
            <w:tcW w:type="dxa" w:w="1656"/>
            <w:vAlign w:val="center"/>
          </w:tcPr>
          <w:p>
            <w:pPr>
              <w:jc w:val="center"/>
            </w:pPr>
            <w:r>
              <w:rPr>
                <w:rFonts w:ascii="Times New Roman" w:hAnsi="Times New Roman"/>
                <w:b w:val="0"/>
                <w:i w:val="0"/>
                <w:sz w:val="20"/>
              </w:rPr>
              <w:t>No</w:t>
            </w:r>
          </w:p>
        </w:tc>
        <w:tc>
          <w:tcPr>
            <w:tcW w:type="dxa" w:w="1800"/>
            <w:vAlign w:val="center"/>
          </w:tcPr>
          <w:p>
            <w:pPr>
              <w:jc w:val="center"/>
            </w:pPr>
            <w:r>
              <w:rPr>
                <w:rFonts w:ascii="Times New Roman" w:hAnsi="Times New Roman"/>
                <w:b w:val="0"/>
                <w:i w:val="0"/>
                <w:sz w:val="20"/>
              </w:rPr>
              <w:t>No</w:t>
            </w:r>
          </w:p>
        </w:tc>
      </w:tr>
      <w:tr>
        <w:tc>
          <w:tcPr>
            <w:tcW w:type="dxa" w:w="2016"/>
            <w:shd w:val="clear" w:color="auto" w:fill="F3F4FF"/>
            <w:vAlign w:val="center"/>
          </w:tcPr>
          <w:p>
            <w:pPr>
              <w:jc w:val="center"/>
            </w:pPr>
            <w:r>
              <w:rPr>
                <w:rFonts w:ascii="Times New Roman" w:hAnsi="Times New Roman"/>
                <w:b w:val="0"/>
                <w:i w:val="0"/>
                <w:sz w:val="20"/>
              </w:rPr>
              <w:t>FActScoring</w:t>
            </w:r>
          </w:p>
        </w:tc>
        <w:tc>
          <w:tcPr>
            <w:tcW w:type="dxa" w:w="1296"/>
            <w:shd w:val="clear" w:color="auto" w:fill="F3F4FF"/>
            <w:vAlign w:val="center"/>
          </w:tcPr>
          <w:p>
            <w:pPr>
              <w:jc w:val="center"/>
            </w:pPr>
            <w:r>
              <w:rPr>
                <w:rFonts w:ascii="Times New Roman" w:hAnsi="Times New Roman"/>
                <w:b w:val="0"/>
                <w:i w:val="0"/>
                <w:sz w:val="20"/>
              </w:rPr>
              <w:t>HGT equiv.</w:t>
            </w:r>
          </w:p>
        </w:tc>
        <w:tc>
          <w:tcPr>
            <w:tcW w:type="dxa" w:w="1440"/>
            <w:shd w:val="clear" w:color="auto" w:fill="F3F4FF"/>
            <w:vAlign w:val="center"/>
          </w:tcPr>
          <w:p>
            <w:pPr>
              <w:jc w:val="center"/>
            </w:pPr>
            <w:r>
              <w:rPr>
                <w:rFonts w:ascii="Times New Roman" w:hAnsi="Times New Roman"/>
                <w:b w:val="0"/>
                <w:i w:val="0"/>
                <w:sz w:val="20"/>
              </w:rPr>
              <w:t>Yes</w:t>
            </w:r>
          </w:p>
        </w:tc>
        <w:tc>
          <w:tcPr>
            <w:tcW w:type="dxa" w:w="1368"/>
            <w:shd w:val="clear" w:color="auto" w:fill="F3F4FF"/>
            <w:vAlign w:val="center"/>
          </w:tcPr>
          <w:p>
            <w:pPr>
              <w:jc w:val="center"/>
            </w:pPr>
            <w:r>
              <w:rPr>
                <w:rFonts w:ascii="Times New Roman" w:hAnsi="Times New Roman"/>
                <w:b w:val="0"/>
                <w:i w:val="0"/>
                <w:sz w:val="20"/>
              </w:rPr>
              <w:t>M+N</w:t>
            </w:r>
          </w:p>
        </w:tc>
        <w:tc>
          <w:tcPr>
            <w:tcW w:type="dxa" w:w="1656"/>
            <w:shd w:val="clear" w:color="auto" w:fill="F3F4FF"/>
            <w:vAlign w:val="center"/>
          </w:tcPr>
          <w:p>
            <w:pPr>
              <w:jc w:val="center"/>
            </w:pPr>
            <w:r>
              <w:rPr>
                <w:rFonts w:ascii="Times New Roman" w:hAnsi="Times New Roman"/>
                <w:b w:val="0"/>
                <w:i w:val="0"/>
                <w:sz w:val="20"/>
              </w:rPr>
              <w:t>No</w:t>
            </w:r>
          </w:p>
        </w:tc>
        <w:tc>
          <w:tcPr>
            <w:tcW w:type="dxa" w:w="1800"/>
            <w:shd w:val="clear" w:color="auto" w:fill="F3F4FF"/>
            <w:vAlign w:val="center"/>
          </w:tcPr>
          <w:p>
            <w:pPr>
              <w:jc w:val="center"/>
            </w:pPr>
            <w:r>
              <w:rPr>
                <w:rFonts w:ascii="Times New Roman" w:hAnsi="Times New Roman"/>
                <w:b w:val="0"/>
                <w:i w:val="0"/>
                <w:sz w:val="20"/>
              </w:rPr>
              <w:t>No</w:t>
            </w:r>
          </w:p>
        </w:tc>
      </w:tr>
      <w:tr>
        <w:tc>
          <w:tcPr>
            <w:tcW w:type="dxa" w:w="2016"/>
            <w:vAlign w:val="center"/>
          </w:tcPr>
          <w:p>
            <w:pPr>
              <w:jc w:val="center"/>
            </w:pPr>
            <w:r>
              <w:rPr>
                <w:rFonts w:ascii="Times New Roman" w:hAnsi="Times New Roman"/>
                <w:b w:val="0"/>
                <w:i w:val="0"/>
                <w:sz w:val="20"/>
              </w:rPr>
              <w:t>Temp. Scaling</w:t>
            </w:r>
          </w:p>
        </w:tc>
        <w:tc>
          <w:tcPr>
            <w:tcW w:type="dxa" w:w="1296"/>
            <w:vAlign w:val="center"/>
          </w:tcPr>
          <w:p>
            <w:pPr>
              <w:jc w:val="center"/>
            </w:pPr>
            <w:r>
              <w:rPr>
                <w:rFonts w:ascii="Times New Roman" w:hAnsi="Times New Roman"/>
                <w:b w:val="0"/>
                <w:i w:val="0"/>
                <w:sz w:val="20"/>
              </w:rPr>
              <w:t>UC equiv.</w:t>
            </w:r>
          </w:p>
        </w:tc>
        <w:tc>
          <w:tcPr>
            <w:tcW w:type="dxa" w:w="1440"/>
            <w:vAlign w:val="center"/>
          </w:tcPr>
          <w:p>
            <w:pPr>
              <w:jc w:val="center"/>
            </w:pPr>
            <w:r>
              <w:rPr>
                <w:rFonts w:ascii="Times New Roman" w:hAnsi="Times New Roman"/>
                <w:b w:val="0"/>
                <w:i w:val="0"/>
                <w:sz w:val="20"/>
              </w:rPr>
              <w:t>Yes</w:t>
            </w:r>
          </w:p>
        </w:tc>
        <w:tc>
          <w:tcPr>
            <w:tcW w:type="dxa" w:w="1368"/>
            <w:vAlign w:val="center"/>
          </w:tcPr>
          <w:p>
            <w:pPr>
              <w:jc w:val="center"/>
            </w:pPr>
            <w:r>
              <w:rPr>
                <w:rFonts w:ascii="Times New Roman" w:hAnsi="Times New Roman"/>
                <w:b w:val="0"/>
                <w:i w:val="0"/>
                <w:sz w:val="20"/>
              </w:rPr>
              <w:t>1</w:t>
            </w:r>
          </w:p>
        </w:tc>
        <w:tc>
          <w:tcPr>
            <w:tcW w:type="dxa" w:w="1656"/>
            <w:vAlign w:val="center"/>
          </w:tcPr>
          <w:p>
            <w:pPr>
              <w:jc w:val="center"/>
            </w:pPr>
            <w:r>
              <w:rPr>
                <w:rFonts w:ascii="Times New Roman" w:hAnsi="Times New Roman"/>
                <w:b w:val="0"/>
                <w:i w:val="0"/>
                <w:sz w:val="20"/>
              </w:rPr>
              <w:t>No</w:t>
            </w:r>
          </w:p>
        </w:tc>
        <w:tc>
          <w:tcPr>
            <w:tcW w:type="dxa" w:w="1800"/>
            <w:vAlign w:val="center"/>
          </w:tcPr>
          <w:p>
            <w:pPr>
              <w:jc w:val="center"/>
            </w:pPr>
            <w:r>
              <w:rPr>
                <w:rFonts w:ascii="Times New Roman" w:hAnsi="Times New Roman"/>
                <w:b w:val="0"/>
                <w:i w:val="0"/>
                <w:sz w:val="20"/>
              </w:rPr>
              <w:t>No</w:t>
            </w:r>
          </w:p>
        </w:tc>
      </w:tr>
      <w:tr>
        <w:tc>
          <w:tcPr>
            <w:tcW w:type="dxa" w:w="2016"/>
            <w:shd w:val="clear" w:color="auto" w:fill="F3F4FF"/>
            <w:vAlign w:val="center"/>
          </w:tcPr>
          <w:p>
            <w:pPr>
              <w:jc w:val="center"/>
            </w:pPr>
            <w:r>
              <w:rPr>
                <w:rFonts w:ascii="Times New Roman" w:hAnsi="Times New Roman"/>
                <w:b w:val="0"/>
                <w:i w:val="0"/>
                <w:sz w:val="20"/>
              </w:rPr>
              <w:t>Deep Ensembles</w:t>
            </w:r>
          </w:p>
        </w:tc>
        <w:tc>
          <w:tcPr>
            <w:tcW w:type="dxa" w:w="1296"/>
            <w:shd w:val="clear" w:color="auto" w:fill="F3F4FF"/>
            <w:vAlign w:val="center"/>
          </w:tcPr>
          <w:p>
            <w:pPr>
              <w:jc w:val="center"/>
            </w:pPr>
            <w:r>
              <w:rPr>
                <w:rFonts w:ascii="Times New Roman" w:hAnsi="Times New Roman"/>
                <w:b w:val="0"/>
                <w:i w:val="0"/>
                <w:sz w:val="20"/>
              </w:rPr>
              <w:t>UC equiv.</w:t>
            </w:r>
          </w:p>
        </w:tc>
        <w:tc>
          <w:tcPr>
            <w:tcW w:type="dxa" w:w="1440"/>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K×</w:t>
            </w:r>
          </w:p>
        </w:tc>
        <w:tc>
          <w:tcPr>
            <w:tcW w:type="dxa" w:w="1656"/>
            <w:shd w:val="clear" w:color="auto" w:fill="F3F4FF"/>
            <w:vAlign w:val="center"/>
          </w:tcPr>
          <w:p>
            <w:pPr>
              <w:jc w:val="center"/>
            </w:pPr>
            <w:r>
              <w:rPr>
                <w:rFonts w:ascii="Times New Roman" w:hAnsi="Times New Roman"/>
                <w:b w:val="0"/>
                <w:i w:val="0"/>
                <w:sz w:val="20"/>
              </w:rPr>
              <w:t>No</w:t>
            </w:r>
          </w:p>
        </w:tc>
        <w:tc>
          <w:tcPr>
            <w:tcW w:type="dxa" w:w="1800"/>
            <w:shd w:val="clear" w:color="auto" w:fill="F3F4FF"/>
            <w:vAlign w:val="center"/>
          </w:tcPr>
          <w:p>
            <w:pPr>
              <w:jc w:val="center"/>
            </w:pPr>
            <w:r>
              <w:rPr>
                <w:rFonts w:ascii="Times New Roman" w:hAnsi="Times New Roman"/>
                <w:b w:val="0"/>
                <w:i w:val="0"/>
                <w:sz w:val="20"/>
              </w:rPr>
              <w:t>No</w:t>
            </w:r>
          </w:p>
        </w:tc>
      </w:tr>
      <w:tr>
        <w:tc>
          <w:tcPr>
            <w:tcW w:type="dxa" w:w="2016"/>
            <w:vAlign w:val="center"/>
          </w:tcPr>
          <w:p>
            <w:pPr>
              <w:jc w:val="center"/>
            </w:pPr>
            <w:r>
              <w:rPr>
                <w:rFonts w:ascii="Times New Roman" w:hAnsi="Times New Roman"/>
                <w:b w:val="0"/>
                <w:i w:val="0"/>
                <w:sz w:val="20"/>
              </w:rPr>
              <w:t>ChemCrow</w:t>
            </w:r>
          </w:p>
        </w:tc>
        <w:tc>
          <w:tcPr>
            <w:tcW w:type="dxa" w:w="1296"/>
            <w:vAlign w:val="center"/>
          </w:tcPr>
          <w:p>
            <w:pPr>
              <w:jc w:val="center"/>
            </w:pPr>
            <w:r>
              <w:rPr>
                <w:rFonts w:ascii="Times New Roman" w:hAnsi="Times New Roman"/>
                <w:b w:val="0"/>
                <w:i w:val="0"/>
                <w:sz w:val="20"/>
              </w:rPr>
              <w:t>CMN equiv.</w:t>
            </w:r>
          </w:p>
        </w:tc>
        <w:tc>
          <w:tcPr>
            <w:tcW w:type="dxa" w:w="1440"/>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w:t>
            </w:r>
          </w:p>
        </w:tc>
        <w:tc>
          <w:tcPr>
            <w:tcW w:type="dxa" w:w="1656"/>
            <w:vAlign w:val="center"/>
          </w:tcPr>
          <w:p>
            <w:pPr>
              <w:jc w:val="center"/>
            </w:pPr>
            <w:r>
              <w:rPr>
                <w:rFonts w:ascii="Times New Roman" w:hAnsi="Times New Roman"/>
                <w:b w:val="0"/>
                <w:i w:val="0"/>
                <w:sz w:val="20"/>
              </w:rPr>
              <w:t>No</w:t>
            </w:r>
          </w:p>
        </w:tc>
        <w:tc>
          <w:tcPr>
            <w:tcW w:type="dxa" w:w="1800"/>
            <w:vAlign w:val="center"/>
          </w:tcPr>
          <w:p>
            <w:pPr>
              <w:jc w:val="center"/>
            </w:pPr>
            <w:r>
              <w:rPr>
                <w:rFonts w:ascii="Times New Roman" w:hAnsi="Times New Roman"/>
                <w:b w:val="0"/>
                <w:i w:val="0"/>
                <w:sz w:val="20"/>
              </w:rPr>
              <w:t>No (filters confab)</w:t>
            </w:r>
          </w:p>
        </w:tc>
      </w:tr>
      <w:tr>
        <w:tc>
          <w:tcPr>
            <w:tcW w:type="dxa" w:w="2016"/>
            <w:shd w:val="clear" w:color="auto" w:fill="F3F4FF"/>
            <w:vAlign w:val="center"/>
          </w:tcPr>
          <w:p>
            <w:pPr>
              <w:jc w:val="center"/>
            </w:pPr>
            <w:r>
              <w:rPr>
                <w:rFonts w:ascii="Times New Roman" w:hAnsi="Times New Roman"/>
                <w:b/>
                <w:i w:val="0"/>
                <w:sz w:val="20"/>
              </w:rPr>
              <w:t>HGT (ours)</w:t>
            </w:r>
          </w:p>
        </w:tc>
        <w:tc>
          <w:tcPr>
            <w:tcW w:type="dxa" w:w="1296"/>
            <w:shd w:val="clear" w:color="auto" w:fill="F3F4FF"/>
            <w:vAlign w:val="center"/>
          </w:tcPr>
          <w:p>
            <w:pPr>
              <w:jc w:val="center"/>
            </w:pPr>
            <w:r>
              <w:rPr>
                <w:rFonts w:ascii="Times New Roman" w:hAnsi="Times New Roman"/>
                <w:b/>
                <w:i w:val="0"/>
                <w:sz w:val="20"/>
              </w:rPr>
              <w:t>I</w:t>
            </w:r>
          </w:p>
        </w:tc>
        <w:tc>
          <w:tcPr>
            <w:tcW w:type="dxa" w:w="1440"/>
            <w:shd w:val="clear" w:color="auto" w:fill="F3F4FF"/>
            <w:vAlign w:val="center"/>
          </w:tcPr>
          <w:p>
            <w:pPr>
              <w:jc w:val="center"/>
            </w:pPr>
            <w:r>
              <w:rPr>
                <w:rFonts w:ascii="Times New Roman" w:hAnsi="Times New Roman"/>
                <w:b/>
                <w:i w:val="0"/>
                <w:sz w:val="20"/>
              </w:rPr>
              <w:t>No</w:t>
            </w:r>
          </w:p>
        </w:tc>
        <w:tc>
          <w:tcPr>
            <w:tcW w:type="dxa" w:w="1368"/>
            <w:shd w:val="clear" w:color="auto" w:fill="F3F4FF"/>
            <w:vAlign w:val="center"/>
          </w:tcPr>
          <w:p>
            <w:pPr>
              <w:jc w:val="center"/>
            </w:pPr>
            <w:r>
              <w:rPr>
                <w:rFonts w:ascii="Times New Roman" w:hAnsi="Times New Roman"/>
                <w:b/>
                <w:i w:val="0"/>
                <w:sz w:val="20"/>
              </w:rPr>
              <w:t>1+1</w:t>
            </w:r>
          </w:p>
        </w:tc>
        <w:tc>
          <w:tcPr>
            <w:tcW w:type="dxa" w:w="1656"/>
            <w:shd w:val="clear" w:color="auto" w:fill="F3F4FF"/>
            <w:vAlign w:val="center"/>
          </w:tcPr>
          <w:p>
            <w:pPr>
              <w:jc w:val="center"/>
            </w:pPr>
            <w:r>
              <w:rPr>
                <w:rFonts w:ascii="Times New Roman" w:hAnsi="Times New Roman"/>
                <w:b w:val="0"/>
                <w:i w:val="0"/>
                <w:sz w:val="20"/>
              </w:rPr>
              <w:t>No</w:t>
            </w:r>
          </w:p>
        </w:tc>
        <w:tc>
          <w:tcPr>
            <w:tcW w:type="dxa" w:w="1800"/>
            <w:shd w:val="clear" w:color="auto" w:fill="F3F4FF"/>
            <w:vAlign w:val="center"/>
          </w:tcPr>
          <w:p>
            <w:pPr>
              <w:jc w:val="center"/>
            </w:pPr>
            <w:r>
              <w:rPr>
                <w:rFonts w:ascii="Times New Roman" w:hAnsi="Times New Roman"/>
                <w:b w:val="0"/>
                <w:i w:val="0"/>
                <w:sz w:val="20"/>
              </w:rPr>
              <w:t>No</w:t>
            </w:r>
          </w:p>
        </w:tc>
      </w:tr>
      <w:tr>
        <w:tc>
          <w:tcPr>
            <w:tcW w:type="dxa" w:w="2016"/>
            <w:vAlign w:val="center"/>
          </w:tcPr>
          <w:p>
            <w:pPr>
              <w:jc w:val="center"/>
            </w:pPr>
            <w:r>
              <w:rPr>
                <w:rFonts w:ascii="Times New Roman" w:hAnsi="Times New Roman"/>
                <w:b/>
                <w:i w:val="0"/>
                <w:sz w:val="20"/>
              </w:rPr>
              <w:t>CMN (ours)</w:t>
            </w:r>
          </w:p>
        </w:tc>
        <w:tc>
          <w:tcPr>
            <w:tcW w:type="dxa" w:w="1296"/>
            <w:vAlign w:val="center"/>
          </w:tcPr>
          <w:p>
            <w:pPr>
              <w:jc w:val="center"/>
            </w:pPr>
            <w:r>
              <w:rPr>
                <w:rFonts w:ascii="Times New Roman" w:hAnsi="Times New Roman"/>
                <w:b/>
                <w:i w:val="0"/>
                <w:sz w:val="20"/>
              </w:rPr>
              <w:t>II</w:t>
            </w:r>
          </w:p>
        </w:tc>
        <w:tc>
          <w:tcPr>
            <w:tcW w:type="dxa" w:w="1440"/>
            <w:vAlign w:val="center"/>
          </w:tcPr>
          <w:p>
            <w:pPr>
              <w:jc w:val="center"/>
            </w:pPr>
            <w:r>
              <w:rPr>
                <w:rFonts w:ascii="Times New Roman" w:hAnsi="Times New Roman"/>
                <w:b/>
                <w:i w:val="0"/>
                <w:sz w:val="20"/>
              </w:rPr>
              <w:t>No</w:t>
            </w:r>
          </w:p>
        </w:tc>
        <w:tc>
          <w:tcPr>
            <w:tcW w:type="dxa" w:w="1368"/>
            <w:vAlign w:val="center"/>
          </w:tcPr>
          <w:p>
            <w:pPr>
              <w:jc w:val="center"/>
            </w:pPr>
            <w:r>
              <w:rPr>
                <w:rFonts w:ascii="Times New Roman" w:hAnsi="Times New Roman"/>
                <w:b/>
                <w:i w:val="0"/>
                <w:sz w:val="20"/>
              </w:rPr>
              <w:t>1</w:t>
            </w:r>
          </w:p>
        </w:tc>
        <w:tc>
          <w:tcPr>
            <w:tcW w:type="dxa" w:w="1656"/>
            <w:vAlign w:val="center"/>
          </w:tcPr>
          <w:p>
            <w:pPr>
              <w:jc w:val="center"/>
            </w:pPr>
            <w:r>
              <w:rPr>
                <w:rFonts w:ascii="Times New Roman" w:hAnsi="Times New Roman"/>
                <w:b w:val="0"/>
                <w:i w:val="0"/>
                <w:sz w:val="20"/>
              </w:rPr>
              <w:t>No</w:t>
            </w:r>
          </w:p>
        </w:tc>
        <w:tc>
          <w:tcPr>
            <w:tcW w:type="dxa" w:w="1800"/>
            <w:vAlign w:val="center"/>
          </w:tcPr>
          <w:p>
            <w:pPr>
              <w:jc w:val="center"/>
            </w:pPr>
            <w:r>
              <w:rPr>
                <w:rFonts w:ascii="Times New Roman" w:hAnsi="Times New Roman"/>
                <w:b/>
                <w:i w:val="0"/>
                <w:sz w:val="20"/>
              </w:rPr>
              <w:t>Yes</w:t>
            </w:r>
          </w:p>
        </w:tc>
      </w:tr>
      <w:tr>
        <w:tc>
          <w:tcPr>
            <w:tcW w:type="dxa" w:w="2016"/>
            <w:shd w:val="clear" w:color="auto" w:fill="F3F4FF"/>
            <w:vAlign w:val="center"/>
          </w:tcPr>
          <w:p>
            <w:pPr>
              <w:jc w:val="center"/>
            </w:pPr>
            <w:r>
              <w:rPr>
                <w:rFonts w:ascii="Times New Roman" w:hAnsi="Times New Roman"/>
                <w:b/>
                <w:i w:val="0"/>
                <w:sz w:val="20"/>
              </w:rPr>
              <w:t>UC (ours)</w:t>
            </w:r>
          </w:p>
        </w:tc>
        <w:tc>
          <w:tcPr>
            <w:tcW w:type="dxa" w:w="1296"/>
            <w:shd w:val="clear" w:color="auto" w:fill="F3F4FF"/>
            <w:vAlign w:val="center"/>
          </w:tcPr>
          <w:p>
            <w:pPr>
              <w:jc w:val="center"/>
            </w:pPr>
            <w:r>
              <w:rPr>
                <w:rFonts w:ascii="Times New Roman" w:hAnsi="Times New Roman"/>
                <w:b/>
                <w:i w:val="0"/>
                <w:sz w:val="20"/>
              </w:rPr>
              <w:t>III</w:t>
            </w:r>
          </w:p>
        </w:tc>
        <w:tc>
          <w:tcPr>
            <w:tcW w:type="dxa" w:w="1440"/>
            <w:shd w:val="clear" w:color="auto" w:fill="F3F4FF"/>
            <w:vAlign w:val="center"/>
          </w:tcPr>
          <w:p>
            <w:pPr>
              <w:jc w:val="center"/>
            </w:pPr>
            <w:r>
              <w:rPr>
                <w:rFonts w:ascii="Times New Roman" w:hAnsi="Times New Roman"/>
                <w:b/>
                <w:i w:val="0"/>
                <w:sz w:val="20"/>
              </w:rPr>
              <w:t>Cal.</w:t>
            </w:r>
          </w:p>
        </w:tc>
        <w:tc>
          <w:tcPr>
            <w:tcW w:type="dxa" w:w="1368"/>
            <w:shd w:val="clear" w:color="auto" w:fill="F3F4FF"/>
            <w:vAlign w:val="center"/>
          </w:tcPr>
          <w:p>
            <w:pPr>
              <w:jc w:val="center"/>
            </w:pPr>
            <w:r>
              <w:rPr>
                <w:rFonts w:ascii="Times New Roman" w:hAnsi="Times New Roman"/>
                <w:b/>
                <w:i w:val="0"/>
                <w:sz w:val="20"/>
              </w:rPr>
              <w:t>30+1</w:t>
            </w:r>
          </w:p>
        </w:tc>
        <w:tc>
          <w:tcPr>
            <w:tcW w:type="dxa" w:w="1656"/>
            <w:shd w:val="clear" w:color="auto" w:fill="F3F4FF"/>
            <w:vAlign w:val="center"/>
          </w:tcPr>
          <w:p>
            <w:pPr>
              <w:jc w:val="center"/>
            </w:pPr>
            <w:r>
              <w:rPr>
                <w:rFonts w:ascii="Times New Roman" w:hAnsi="Times New Roman"/>
                <w:b/>
                <w:i w:val="0"/>
                <w:sz w:val="20"/>
              </w:rPr>
              <w:t>Yes</w:t>
            </w:r>
          </w:p>
        </w:tc>
        <w:tc>
          <w:tcPr>
            <w:tcW w:type="dxa" w:w="1800"/>
            <w:shd w:val="clear" w:color="auto" w:fill="F3F4FF"/>
            <w:vAlign w:val="center"/>
          </w:tcPr>
          <w:p>
            <w:pPr>
              <w:jc w:val="center"/>
            </w:pPr>
            <w:r>
              <w:rPr>
                <w:rFonts w:ascii="Times New Roman" w:hAnsi="Times New Roman"/>
                <w:b w:val="0"/>
                <w:i w:val="0"/>
                <w:sz w:val="20"/>
              </w:rPr>
              <w:t>No</w:t>
            </w:r>
          </w:p>
        </w:tc>
      </w:tr>
    </w:tbl>
    <w:p>
      <w:pPr>
        <w:spacing w:after="160"/>
      </w:pPr>
    </w:p>
    <w:p>
      <w:pPr>
        <w:spacing w:before="280" w:after="80"/>
      </w:pPr>
      <w:r>
        <w:rPr>
          <w:rFonts w:ascii="Times New Roman" w:hAnsi="Times New Roman"/>
          <w:b/>
          <w:i w:val="0"/>
          <w:color w:val="1A237E"/>
          <w:sz w:val="26"/>
        </w:rPr>
        <w:t>3.  The PHANTASM Framework</w:t>
      </w:r>
    </w:p>
    <w:p>
      <w:pPr>
        <w:spacing w:before="0" w:after="140"/>
        <w:ind w:firstLine="432"/>
        <w:jc w:val="both"/>
      </w:pPr>
      <w:r>
        <w:rPr>
          <w:rFonts w:ascii="Times New Roman" w:hAnsi="Times New Roman"/>
          <w:b w:val="0"/>
          <w:i w:val="0"/>
          <w:sz w:val="22"/>
        </w:rPr>
        <w:t>PHANTASM wraps any HuggingFace AutoModelForCausalLM with three analytical pillars. All pillars operate post-hoc: model weights are frozen and never modified. The unified entry point is:</w:t>
      </w:r>
    </w:p>
    <w:p>
      <w:pPr>
        <w:spacing w:before="100" w:after="100"/>
        <w:jc w:val="center"/>
      </w:pPr>
      <w:r>
        <w:rPr>
          <w:rFonts w:ascii="Cambria Math" w:hAnsi="Cambria Math"/>
          <w:b w:val="0"/>
          <w:i/>
          <w:color w:val="323296"/>
          <w:sz w:val="22"/>
        </w:rPr>
        <w:t>pipeline = PHANTASMPipeline.from_pretrained(model_name)</w:t>
      </w:r>
    </w:p>
    <w:p>
      <w:pPr>
        <w:spacing w:after="180"/>
        <w:jc w:val="center"/>
      </w:pPr>
      <w:r>
        <w:rPr>
          <w:rFonts w:ascii="Times New Roman" w:hAnsi="Times New Roman"/>
          <w:b w:val="0"/>
          <w:i/>
          <w:color w:val="505050"/>
          <w:sz w:val="18"/>
        </w:rPr>
        <w:t>Unified initialization. Weights are frozen throughout.</w:t>
      </w:r>
    </w:p>
    <w:p>
      <w:pPr>
        <w:spacing w:before="0" w:after="140"/>
        <w:ind w:firstLine="432"/>
        <w:jc w:val="both"/>
      </w:pPr>
      <w:r>
        <w:rPr>
          <w:rFonts w:ascii="Times New Roman" w:hAnsi="Times New Roman"/>
          <w:b w:val="0"/>
          <w:i w:val="0"/>
          <w:sz w:val="22"/>
        </w:rPr>
        <w:t>Each pillar can be used independently or jointly. The output of a joint analysis is a PHANTASMReport containing a CompetencyAtlas (HGT), a list of Hypothesis objects (CMN), and a CrystalizedUncertainty (UC), plus a synthesis summary and actionable insights list.</w:t>
      </w:r>
    </w:p>
    <w:p>
      <w:pPr>
        <w:spacing w:before="200" w:after="60"/>
      </w:pPr>
      <w:r>
        <w:rPr>
          <w:rFonts w:ascii="Times New Roman" w:hAnsi="Times New Roman"/>
          <w:b/>
          <w:i w:val="0"/>
          <w:color w:val="283593"/>
          <w:sz w:val="22"/>
        </w:rPr>
        <w:t>3.1  Pillar I — Hallucination Gradient Tracing (HGT)</w:t>
      </w:r>
    </w:p>
    <w:p>
      <w:pPr>
        <w:spacing w:before="0" w:after="140"/>
        <w:ind w:firstLine="432"/>
        <w:jc w:val="both"/>
      </w:pPr>
      <w:r>
        <w:rPr>
          <w:rFonts w:ascii="Times New Roman" w:hAnsi="Times New Roman"/>
          <w:b w:val="0"/>
          <w:i w:val="0"/>
          <w:sz w:val="22"/>
        </w:rPr>
        <w:t>Core insight: hallucinations occur where the model's gradient landscape is steep — where small embedding perturbations produce large loss changes. Measuring those gradient norms is equivalent to mapping the model's knowledge boundaries without any external reference.</w:t>
      </w:r>
    </w:p>
    <w:p>
      <w:pPr>
        <w:spacing w:before="0" w:after="140"/>
        <w:ind w:firstLine="432"/>
        <w:jc w:val="both"/>
      </w:pPr>
      <w:r>
        <w:rPr>
          <w:rFonts w:ascii="Times New Roman" w:hAnsi="Times New Roman"/>
          <w:b w:val="0"/>
          <w:i w:val="0"/>
          <w:sz w:val="22"/>
        </w:rPr>
        <w:t>Formulation. Let fθ be a causal LM parameterized by θ. For input x = (x₁, …, x_T) let eᵢ = E(xᵢ) ∈ ℝᵈ. Define the self-consistency loss:</w:t>
      </w:r>
    </w:p>
    <w:p>
      <w:pPr>
        <w:spacing w:before="100" w:after="100"/>
        <w:jc w:val="center"/>
      </w:pPr>
      <w:r>
        <w:rPr>
          <w:rFonts w:ascii="Cambria Math" w:hAnsi="Cambria Math"/>
          <w:b w:val="0"/>
          <w:i/>
          <w:color w:val="323296"/>
          <w:sz w:val="22"/>
        </w:rPr>
        <w:t>L_sc = −∑ᵢ₌₁ᵀ log p_θ(ŷᵢ | x₍&lt;ᵢ₎),   ŷᵢ = argmax_v p_θ(v | x₍&lt;ᵢ₎)</w:t>
      </w:r>
    </w:p>
    <w:p>
      <w:pPr>
        <w:spacing w:after="180"/>
        <w:jc w:val="center"/>
      </w:pPr>
      <w:r>
        <w:rPr>
          <w:rFonts w:ascii="Times New Roman" w:hAnsi="Times New Roman"/>
          <w:b w:val="0"/>
          <w:i/>
          <w:color w:val="505050"/>
          <w:sz w:val="18"/>
        </w:rPr>
        <w:t>Eq. 1: Self-consistency loss — model's own top-1 predictions as targets. No labels needed.</w:t>
      </w:r>
    </w:p>
    <w:p>
      <w:pPr>
        <w:spacing w:before="0" w:after="140"/>
        <w:ind w:firstLine="432"/>
        <w:jc w:val="both"/>
      </w:pPr>
      <w:r>
        <w:rPr>
          <w:rFonts w:ascii="Times New Roman" w:hAnsi="Times New Roman"/>
          <w:b w:val="0"/>
          <w:i w:val="0"/>
          <w:sz w:val="22"/>
        </w:rPr>
        <w:t>The HGT boundary score at position i:</w:t>
      </w:r>
    </w:p>
    <w:p>
      <w:pPr>
        <w:spacing w:before="100" w:after="100"/>
        <w:jc w:val="center"/>
      </w:pPr>
      <w:r>
        <w:rPr>
          <w:rFonts w:ascii="Cambria Math" w:hAnsi="Cambria Math"/>
          <w:b w:val="0"/>
          <w:i/>
          <w:color w:val="323296"/>
          <w:sz w:val="22"/>
        </w:rPr>
        <w:t>sᵢ = 1 − ‖∇_eᵢ L_sc‖ / max_j ‖∇_eⱼ L_sc‖   ∈ [0, 1]</w:t>
      </w:r>
    </w:p>
    <w:p>
      <w:pPr>
        <w:spacing w:after="180"/>
        <w:jc w:val="center"/>
      </w:pPr>
      <w:r>
        <w:rPr>
          <w:rFonts w:ascii="Times New Roman" w:hAnsi="Times New Roman"/>
          <w:b w:val="0"/>
          <w:i/>
          <w:color w:val="505050"/>
          <w:sz w:val="18"/>
        </w:rPr>
        <w:t>Eq. 2: Boundary score. sᵢ ≈ 0 = knowledge boundary; sᵢ ≈ 1 = grounded.</w:t>
      </w:r>
    </w:p>
    <w:p>
      <w:pPr>
        <w:spacing w:before="0" w:after="140"/>
        <w:ind w:firstLine="432"/>
        <w:jc w:val="both"/>
      </w:pPr>
      <w:r>
        <w:rPr>
          <w:rFonts w:ascii="Times New Roman" w:hAnsi="Times New Roman"/>
          <w:b w:val="0"/>
          <w:i w:val="0"/>
          <w:sz w:val="22"/>
        </w:rPr>
        <w:t>Overall hallucination risk: r = 1 − (1/T)∑ᵢ sᵢ. Tokens with sᵢ &lt; τ (default τ=0.35) are labeled knowledge_gaps with severity 'high' (sᵢ&lt;0.15) or 'medium'. The CompetencyAtlas bundles token_scores, boundary_tokens, knowledge_gaps, and overall_hallucination_risk. Cost: 1 forward pass + 1 backward pass ≈ 1.5× standard inference.</w:t>
      </w:r>
    </w:p>
    <w:p>
      <w:pPr>
        <w:spacing w:before="200" w:after="60"/>
      </w:pPr>
      <w:r>
        <w:rPr>
          <w:rFonts w:ascii="Times New Roman" w:hAnsi="Times New Roman"/>
          <w:b/>
          <w:i w:val="0"/>
          <w:color w:val="283593"/>
          <w:sz w:val="22"/>
        </w:rPr>
        <w:t>3.2  Pillar II — Confabulation Mining Network (CMN)</w:t>
      </w:r>
    </w:p>
    <w:p>
      <w:pPr>
        <w:spacing w:before="0" w:after="140"/>
        <w:ind w:firstLine="432"/>
        <w:jc w:val="both"/>
      </w:pPr>
      <w:r>
        <w:rPr>
          <w:rFonts w:ascii="Times New Roman" w:hAnsi="Times New Roman"/>
          <w:b w:val="0"/>
          <w:i w:val="0"/>
          <w:sz w:val="22"/>
        </w:rPr>
        <w:t>Core insight: creative gap-filling recombines real learned concepts in novel ways. Those combinations are the raw material of hypothesis generation.</w:t>
      </w:r>
    </w:p>
    <w:p>
      <w:pPr>
        <w:spacing w:before="0" w:after="140"/>
        <w:ind w:firstLine="432"/>
        <w:jc w:val="both"/>
      </w:pPr>
      <w:r>
        <w:rPr>
          <w:rFonts w:ascii="Times New Roman" w:hAnsi="Times New Roman"/>
          <w:b w:val="0"/>
          <w:i w:val="0"/>
          <w:sz w:val="22"/>
        </w:rPr>
        <w:t>Architecture. CMN is a dual-encoder (φ_C, φ_N, φ_P):</w:t>
      </w:r>
    </w:p>
    <w:p>
      <w:pPr>
        <w:pStyle w:val="ListBullet"/>
        <w:spacing w:after="80" w:before="0"/>
      </w:pPr>
      <w:r>
        <w:rPr>
          <w:rFonts w:ascii="Times New Roman" w:hAnsi="Times New Roman"/>
          <w:b/>
          <w:i w:val="0"/>
          <w:sz w:val="22"/>
        </w:rPr>
        <w:t xml:space="preserve">ConceptExtractor φ_C: </w:t>
      </w:r>
      <w:r>
        <w:rPr>
          <w:rFonts w:ascii="Times New Roman" w:hAnsi="Times New Roman"/>
          <w:b w:val="0"/>
          <w:i w:val="0"/>
          <w:sz w:val="22"/>
        </w:rPr>
        <w:t xml:space="preserve"> 2-layer Transformer encoder → concept vectors c ∈ ℝ^(L×d). Shared across confabulated and factual inputs.</w:t>
      </w:r>
    </w:p>
    <w:p>
      <w:pPr>
        <w:pStyle w:val="ListBullet"/>
        <w:spacing w:after="80" w:before="0"/>
      </w:pPr>
      <w:r>
        <w:rPr>
          <w:rFonts w:ascii="Times New Roman" w:hAnsi="Times New Roman"/>
          <w:b/>
          <w:i w:val="0"/>
          <w:sz w:val="22"/>
        </w:rPr>
        <w:t xml:space="preserve">NoveltyScorer φ_N: </w:t>
      </w:r>
      <w:r>
        <w:rPr>
          <w:rFonts w:ascii="Times New Roman" w:hAnsi="Times New Roman"/>
          <w:b w:val="0"/>
          <w:i w:val="0"/>
          <w:sz w:val="22"/>
        </w:rPr>
        <w:t xml:space="preserve"> 3-layer MLP scoring nov(c̄_confab, c̄_fact) ∈ [0,1]. High = confabulation is distant from factual space.</w:t>
      </w:r>
    </w:p>
    <w:p>
      <w:pPr>
        <w:pStyle w:val="ListBullet"/>
        <w:spacing w:after="80" w:before="0"/>
      </w:pPr>
      <w:r>
        <w:rPr>
          <w:rFonts w:ascii="Times New Roman" w:hAnsi="Times New Roman"/>
          <w:b/>
          <w:i w:val="0"/>
          <w:sz w:val="22"/>
        </w:rPr>
        <w:t xml:space="preserve">PlausibilityScorer φ_P: </w:t>
      </w:r>
      <w:r>
        <w:rPr>
          <w:rFonts w:ascii="Times New Roman" w:hAnsi="Times New Roman"/>
          <w:b w:val="0"/>
          <w:i w:val="0"/>
          <w:sz w:val="22"/>
        </w:rPr>
        <w:t xml:space="preserve"> Self-attention + MLP scoring pla(c_confab) ∈ [0,1]. Measures internal semantic coherence.</w:t>
      </w:r>
    </w:p>
    <w:p>
      <w:pPr>
        <w:spacing w:before="0" w:after="140"/>
        <w:ind w:firstLine="432"/>
        <w:jc w:val="both"/>
      </w:pPr>
      <w:r>
        <w:rPr>
          <w:rFonts w:ascii="Times New Roman" w:hAnsi="Times New Roman"/>
          <w:b w:val="0"/>
          <w:i w:val="0"/>
          <w:sz w:val="22"/>
        </w:rPr>
        <w:t>Training objective:</w:t>
      </w:r>
    </w:p>
    <w:p>
      <w:pPr>
        <w:spacing w:before="100" w:after="100"/>
        <w:jc w:val="center"/>
      </w:pPr>
      <w:r>
        <w:rPr>
          <w:rFonts w:ascii="Cambria Math" w:hAnsi="Cambria Math"/>
          <w:b w:val="0"/>
          <w:i/>
          <w:color w:val="323296"/>
          <w:sz w:val="22"/>
        </w:rPr>
        <w:t>L_CMN = −0.6 · log σ((1−cos(c̄_confab, c̄_fact))/τ)  +  0.4 · BCE(pla(c_confab), 1)</w:t>
      </w:r>
    </w:p>
    <w:p>
      <w:pPr>
        <w:spacing w:after="180"/>
        <w:jc w:val="center"/>
      </w:pPr>
      <w:r>
        <w:rPr>
          <w:rFonts w:ascii="Times New Roman" w:hAnsi="Times New Roman"/>
          <w:b w:val="0"/>
          <w:i/>
          <w:color w:val="505050"/>
          <w:sz w:val="18"/>
        </w:rPr>
        <w:t>Eq. 3: Contrastive novelty term + coherence term. τ=0.07.</w:t>
      </w:r>
    </w:p>
    <w:p>
      <w:pPr>
        <w:spacing w:before="0" w:after="140"/>
        <w:ind w:firstLine="432"/>
        <w:jc w:val="both"/>
      </w:pPr>
      <w:r>
        <w:rPr>
          <w:rFonts w:ascii="Times New Roman" w:hAnsi="Times New Roman"/>
          <w:b w:val="0"/>
          <w:i w:val="0"/>
          <w:sz w:val="22"/>
        </w:rPr>
        <w:t>At inference CMN filters outputs where nov ≥ 0.45 and pla ≥ 0.50 — the Pareto-optimal threshold pair from grid search maximizing expert acceptance rate (Section 4.3). Each passing output is returned as a Hypothesis(text, novelty_score, plausibility_score, source_concepts, domain).</w:t>
      </w:r>
    </w:p>
    <w:p>
      <w:pPr>
        <w:spacing w:before="200" w:after="60"/>
      </w:pPr>
      <w:r>
        <w:rPr>
          <w:rFonts w:ascii="Times New Roman" w:hAnsi="Times New Roman"/>
          <w:b/>
          <w:i w:val="0"/>
          <w:color w:val="283593"/>
          <w:sz w:val="22"/>
        </w:rPr>
        <w:t>3.3  Pillar III — Uncertainty Crystallization (UC)</w:t>
      </w:r>
    </w:p>
    <w:p>
      <w:pPr>
        <w:spacing w:before="0" w:after="140"/>
        <w:ind w:firstLine="432"/>
        <w:jc w:val="both"/>
      </w:pPr>
      <w:r>
        <w:rPr>
          <w:rFonts w:ascii="Times New Roman" w:hAnsi="Times New Roman"/>
          <w:b w:val="0"/>
          <w:i w:val="0"/>
          <w:sz w:val="22"/>
        </w:rPr>
        <w:t>UC converts raw, overconfident model probabilities into a four-tier reliability classification with a statistically-guaranteed 90% coverage interval, via three compounding stages.</w:t>
      </w:r>
    </w:p>
    <w:p>
      <w:pPr>
        <w:spacing w:before="0" w:after="140"/>
        <w:ind w:firstLine="432"/>
        <w:jc w:val="both"/>
      </w:pPr>
      <w:r>
        <w:rPr>
          <w:rFonts w:ascii="Times New Roman" w:hAnsi="Times New Roman"/>
          <w:b w:val="0"/>
          <w:i w:val="0"/>
          <w:sz w:val="22"/>
        </w:rPr>
        <w:t>Stage 1 — Monte-Carlo Dropout (N=30 samples, dropout active at inference):</w:t>
      </w:r>
    </w:p>
    <w:p>
      <w:pPr>
        <w:spacing w:before="100" w:after="100"/>
        <w:jc w:val="center"/>
      </w:pPr>
      <w:r>
        <w:rPr>
          <w:rFonts w:ascii="Cambria Math" w:hAnsi="Cambria Math"/>
          <w:b w:val="0"/>
          <w:i/>
          <w:color w:val="323296"/>
          <w:sz w:val="22"/>
        </w:rPr>
        <w:t>σ²_ep = Var_n[p_θ^(n)],   u_al = E_n[H(p_θ^(n))]</w:t>
      </w:r>
    </w:p>
    <w:p>
      <w:pPr>
        <w:spacing w:after="180"/>
        <w:jc w:val="center"/>
      </w:pPr>
      <w:r>
        <w:rPr>
          <w:rFonts w:ascii="Times New Roman" w:hAnsi="Times New Roman"/>
          <w:b w:val="0"/>
          <w:i/>
          <w:color w:val="505050"/>
          <w:sz w:val="18"/>
        </w:rPr>
        <w:t>Eq. 4: Epistemic uncertainty = predictive variance; aleatoric = expected entropy.</w:t>
      </w:r>
    </w:p>
    <w:p>
      <w:pPr>
        <w:spacing w:before="0" w:after="140"/>
        <w:ind w:firstLine="432"/>
        <w:jc w:val="both"/>
      </w:pPr>
      <w:r>
        <w:rPr>
          <w:rFonts w:ascii="Times New Roman" w:hAnsi="Times New Roman"/>
          <w:b w:val="0"/>
          <w:i w:val="0"/>
          <w:sz w:val="22"/>
        </w:rPr>
        <w:t>Stage 2 — Temperature Scaling (minimises NLL on calibration set):</w:t>
      </w:r>
    </w:p>
    <w:p>
      <w:pPr>
        <w:spacing w:before="100" w:after="100"/>
        <w:jc w:val="center"/>
      </w:pPr>
      <w:r>
        <w:rPr>
          <w:rFonts w:ascii="Cambria Math" w:hAnsi="Cambria Math"/>
          <w:b w:val="0"/>
          <w:i/>
          <w:color w:val="323296"/>
          <w:sz w:val="22"/>
        </w:rPr>
        <w:t>T* = argmin_T L_NLL(fθ(x)/T, y),   p̂ = max_v softmax(z/T*)_v</w:t>
      </w:r>
    </w:p>
    <w:p>
      <w:pPr>
        <w:spacing w:after="180"/>
        <w:jc w:val="center"/>
      </w:pPr>
      <w:r>
        <w:rPr>
          <w:rFonts w:ascii="Times New Roman" w:hAnsi="Times New Roman"/>
          <w:b w:val="0"/>
          <w:i/>
          <w:color w:val="505050"/>
          <w:sz w:val="18"/>
        </w:rPr>
        <w:t>Eq. 5: Optimal scalar T* recalibrates overconfident logits.</w:t>
      </w:r>
    </w:p>
    <w:p>
      <w:pPr>
        <w:spacing w:before="0" w:after="140"/>
        <w:ind w:firstLine="432"/>
        <w:jc w:val="both"/>
      </w:pPr>
      <w:r>
        <w:rPr>
          <w:rFonts w:ascii="Times New Roman" w:hAnsi="Times New Roman"/>
          <w:b w:val="0"/>
          <w:i w:val="0"/>
          <w:sz w:val="22"/>
        </w:rPr>
        <w:t>Stage 3 — Conformal Prediction (statistically-guaranteed coverage):</w:t>
      </w:r>
    </w:p>
    <w:p>
      <w:pPr>
        <w:spacing w:before="100" w:after="100"/>
        <w:jc w:val="center"/>
      </w:pPr>
      <w:r>
        <w:rPr>
          <w:rFonts w:ascii="Cambria Math" w:hAnsi="Cambria Math"/>
          <w:b w:val="0"/>
          <w:i/>
          <w:color w:val="323296"/>
          <w:sz w:val="22"/>
        </w:rPr>
        <w:t>q̂ = Quantile_{(1−δ)(1+1/n)} ({1−p̂ᵢ}ᵢ₌₁ⁿ),   Pr[y ∈ [p̂−q̂, p̂+q̂]] ≥ 1−δ</w:t>
      </w:r>
    </w:p>
    <w:p>
      <w:pPr>
        <w:spacing w:after="180"/>
        <w:jc w:val="center"/>
      </w:pPr>
      <w:r>
        <w:rPr>
          <w:rFonts w:ascii="Times New Roman" w:hAnsi="Times New Roman"/>
          <w:b w:val="0"/>
          <w:i/>
          <w:color w:val="505050"/>
          <w:sz w:val="18"/>
        </w:rPr>
        <w:t>Eq. 6: Marginal coverage guarantee. δ=0.10 → 90% coverage interval.</w:t>
      </w:r>
    </w:p>
    <w:p>
      <w:pPr>
        <w:spacing w:before="160" w:after="80"/>
        <w:jc w:val="center"/>
      </w:pPr>
      <w:r>
        <w:rPr>
          <w:rFonts w:ascii="Times New Roman" w:hAnsi="Times New Roman"/>
          <w:b/>
          <w:i w:val="0"/>
          <w:sz w:val="20"/>
        </w:rPr>
        <w:t>Table 2. UC reliability tier definitions and deployment policy.</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224"/>
            <w:shd w:val="clear" w:color="auto" w:fill="1A237E"/>
            <w:vAlign w:val="center"/>
          </w:tcPr>
          <w:p>
            <w:pPr>
              <w:jc w:val="center"/>
            </w:pPr>
            <w:r>
              <w:rPr>
                <w:rFonts w:ascii="Times New Roman" w:hAnsi="Times New Roman"/>
                <w:b/>
                <w:i w:val="0"/>
                <w:color w:val="FFFFFF"/>
                <w:sz w:val="20"/>
              </w:rPr>
              <w:t>Tier</w:t>
            </w:r>
          </w:p>
        </w:tc>
        <w:tc>
          <w:tcPr>
            <w:tcW w:type="dxa" w:w="792"/>
            <w:shd w:val="clear" w:color="auto" w:fill="1A237E"/>
            <w:vAlign w:val="center"/>
          </w:tcPr>
          <w:p>
            <w:pPr>
              <w:jc w:val="center"/>
            </w:pPr>
            <w:r>
              <w:rPr>
                <w:rFonts w:ascii="Times New Roman" w:hAnsi="Times New Roman"/>
                <w:b/>
                <w:i w:val="0"/>
                <w:color w:val="FFFFFF"/>
                <w:sz w:val="20"/>
              </w:rPr>
              <w:t>Sym.</w:t>
            </w:r>
          </w:p>
        </w:tc>
        <w:tc>
          <w:tcPr>
            <w:tcW w:type="dxa" w:w="1944"/>
            <w:shd w:val="clear" w:color="auto" w:fill="1A237E"/>
            <w:vAlign w:val="center"/>
          </w:tcPr>
          <w:p>
            <w:pPr>
              <w:jc w:val="center"/>
            </w:pPr>
            <w:r>
              <w:rPr>
                <w:rFonts w:ascii="Times New Roman" w:hAnsi="Times New Roman"/>
                <w:b/>
                <w:i w:val="0"/>
                <w:color w:val="FFFFFF"/>
                <w:sz w:val="20"/>
              </w:rPr>
              <w:t>Calibrated Conf.</w:t>
            </w:r>
          </w:p>
        </w:tc>
        <w:tc>
          <w:tcPr>
            <w:tcW w:type="dxa" w:w="1656"/>
            <w:shd w:val="clear" w:color="auto" w:fill="1A237E"/>
            <w:vAlign w:val="center"/>
          </w:tcPr>
          <w:p>
            <w:pPr>
              <w:jc w:val="center"/>
            </w:pPr>
            <w:r>
              <w:rPr>
                <w:rFonts w:ascii="Times New Roman" w:hAnsi="Times New Roman"/>
                <w:b/>
                <w:i w:val="0"/>
                <w:color w:val="FFFFFF"/>
                <w:sz w:val="20"/>
              </w:rPr>
              <w:t>Epistemic Var.</w:t>
            </w:r>
          </w:p>
        </w:tc>
        <w:tc>
          <w:tcPr>
            <w:tcW w:type="dxa" w:w="3816"/>
            <w:shd w:val="clear" w:color="auto" w:fill="1A237E"/>
            <w:vAlign w:val="center"/>
          </w:tcPr>
          <w:p>
            <w:pPr>
              <w:jc w:val="center"/>
            </w:pPr>
            <w:r>
              <w:rPr>
                <w:rFonts w:ascii="Times New Roman" w:hAnsi="Times New Roman"/>
                <w:b/>
                <w:i w:val="0"/>
                <w:color w:val="FFFFFF"/>
                <w:sz w:val="20"/>
              </w:rPr>
              <w:t>Policy</w:t>
            </w:r>
          </w:p>
        </w:tc>
      </w:tr>
      <w:tr>
        <w:tc>
          <w:tcPr>
            <w:tcW w:type="dxa" w:w="1224"/>
            <w:shd w:val="clear" w:color="auto" w:fill="F3F4FF"/>
            <w:vAlign w:val="center"/>
          </w:tcPr>
          <w:p>
            <w:pPr>
              <w:jc w:val="center"/>
            </w:pPr>
            <w:r>
              <w:rPr>
                <w:rFonts w:ascii="Times New Roman" w:hAnsi="Times New Roman"/>
                <w:b w:val="0"/>
                <w:i w:val="0"/>
                <w:sz w:val="20"/>
              </w:rPr>
              <w:t>Crystal</w:t>
            </w:r>
          </w:p>
        </w:tc>
        <w:tc>
          <w:tcPr>
            <w:tcW w:type="dxa" w:w="792"/>
            <w:shd w:val="clear" w:color="auto" w:fill="F3F4FF"/>
            <w:vAlign w:val="center"/>
          </w:tcPr>
          <w:p>
            <w:pPr>
              <w:jc w:val="center"/>
            </w:pPr>
            <w:r>
              <w:rPr>
                <w:rFonts w:ascii="Times New Roman" w:hAnsi="Times New Roman"/>
                <w:b w:val="0"/>
                <w:i w:val="0"/>
                <w:sz w:val="20"/>
              </w:rPr>
              <w:t>◆</w:t>
            </w:r>
          </w:p>
        </w:tc>
        <w:tc>
          <w:tcPr>
            <w:tcW w:type="dxa" w:w="1944"/>
            <w:shd w:val="clear" w:color="auto" w:fill="F3F4FF"/>
            <w:vAlign w:val="center"/>
          </w:tcPr>
          <w:p>
            <w:pPr>
              <w:jc w:val="center"/>
            </w:pPr>
            <w:r>
              <w:rPr>
                <w:rFonts w:ascii="Times New Roman" w:hAnsi="Times New Roman"/>
                <w:b w:val="0"/>
                <w:i w:val="0"/>
                <w:sz w:val="20"/>
              </w:rPr>
              <w:t>≥ 0.85</w:t>
            </w:r>
          </w:p>
        </w:tc>
        <w:tc>
          <w:tcPr>
            <w:tcW w:type="dxa" w:w="1656"/>
            <w:shd w:val="clear" w:color="auto" w:fill="F3F4FF"/>
            <w:vAlign w:val="center"/>
          </w:tcPr>
          <w:p>
            <w:pPr>
              <w:jc w:val="center"/>
            </w:pPr>
            <w:r>
              <w:rPr>
                <w:rFonts w:ascii="Times New Roman" w:hAnsi="Times New Roman"/>
                <w:b w:val="0"/>
                <w:i w:val="0"/>
                <w:sz w:val="20"/>
              </w:rPr>
              <w:t>&lt; 0.05</w:t>
            </w:r>
          </w:p>
        </w:tc>
        <w:tc>
          <w:tcPr>
            <w:tcW w:type="dxa" w:w="3816"/>
            <w:shd w:val="clear" w:color="auto" w:fill="F3F4FF"/>
            <w:vAlign w:val="center"/>
          </w:tcPr>
          <w:p>
            <w:pPr>
              <w:jc w:val="center"/>
            </w:pPr>
            <w:r>
              <w:rPr>
                <w:rFonts w:ascii="Times New Roman" w:hAnsi="Times New Roman"/>
                <w:b w:val="0"/>
                <w:i w:val="0"/>
                <w:sz w:val="20"/>
              </w:rPr>
              <w:t>Fully automated use</w:t>
            </w:r>
          </w:p>
        </w:tc>
      </w:tr>
      <w:tr>
        <w:tc>
          <w:tcPr>
            <w:tcW w:type="dxa" w:w="1224"/>
            <w:vAlign w:val="center"/>
          </w:tcPr>
          <w:p>
            <w:pPr>
              <w:jc w:val="center"/>
            </w:pPr>
            <w:r>
              <w:rPr>
                <w:rFonts w:ascii="Times New Roman" w:hAnsi="Times New Roman"/>
                <w:b w:val="0"/>
                <w:i w:val="0"/>
                <w:sz w:val="20"/>
              </w:rPr>
              <w:t>Solid</w:t>
            </w:r>
          </w:p>
        </w:tc>
        <w:tc>
          <w:tcPr>
            <w:tcW w:type="dxa" w:w="792"/>
            <w:vAlign w:val="center"/>
          </w:tcPr>
          <w:p>
            <w:pPr>
              <w:jc w:val="center"/>
            </w:pPr>
            <w:r>
              <w:rPr>
                <w:rFonts w:ascii="Times New Roman" w:hAnsi="Times New Roman"/>
                <w:b w:val="0"/>
                <w:i w:val="0"/>
                <w:sz w:val="20"/>
              </w:rPr>
              <w:t>◇</w:t>
            </w:r>
          </w:p>
        </w:tc>
        <w:tc>
          <w:tcPr>
            <w:tcW w:type="dxa" w:w="1944"/>
            <w:vAlign w:val="center"/>
          </w:tcPr>
          <w:p>
            <w:pPr>
              <w:jc w:val="center"/>
            </w:pPr>
            <w:r>
              <w:rPr>
                <w:rFonts w:ascii="Times New Roman" w:hAnsi="Times New Roman"/>
                <w:b w:val="0"/>
                <w:i w:val="0"/>
                <w:sz w:val="20"/>
              </w:rPr>
              <w:t>≥ 0.65</w:t>
            </w:r>
          </w:p>
        </w:tc>
        <w:tc>
          <w:tcPr>
            <w:tcW w:type="dxa" w:w="1656"/>
            <w:vAlign w:val="center"/>
          </w:tcPr>
          <w:p>
            <w:pPr>
              <w:jc w:val="center"/>
            </w:pPr>
            <w:r>
              <w:rPr>
                <w:rFonts w:ascii="Times New Roman" w:hAnsi="Times New Roman"/>
                <w:b w:val="0"/>
                <w:i w:val="0"/>
                <w:sz w:val="20"/>
              </w:rPr>
              <w:t>&lt; 0.15</w:t>
            </w:r>
          </w:p>
        </w:tc>
        <w:tc>
          <w:tcPr>
            <w:tcW w:type="dxa" w:w="3816"/>
            <w:vAlign w:val="center"/>
          </w:tcPr>
          <w:p>
            <w:pPr>
              <w:jc w:val="center"/>
            </w:pPr>
            <w:r>
              <w:rPr>
                <w:rFonts w:ascii="Times New Roman" w:hAnsi="Times New Roman"/>
                <w:b w:val="0"/>
                <w:i w:val="0"/>
                <w:sz w:val="20"/>
              </w:rPr>
              <w:t>Automated + async review</w:t>
            </w:r>
          </w:p>
        </w:tc>
      </w:tr>
      <w:tr>
        <w:tc>
          <w:tcPr>
            <w:tcW w:type="dxa" w:w="1224"/>
            <w:shd w:val="clear" w:color="auto" w:fill="F3F4FF"/>
            <w:vAlign w:val="center"/>
          </w:tcPr>
          <w:p>
            <w:pPr>
              <w:jc w:val="center"/>
            </w:pPr>
            <w:r>
              <w:rPr>
                <w:rFonts w:ascii="Times New Roman" w:hAnsi="Times New Roman"/>
                <w:b w:val="0"/>
                <w:i w:val="0"/>
                <w:sz w:val="20"/>
              </w:rPr>
              <w:t>Fluid</w:t>
            </w:r>
          </w:p>
        </w:tc>
        <w:tc>
          <w:tcPr>
            <w:tcW w:type="dxa" w:w="792"/>
            <w:shd w:val="clear" w:color="auto" w:fill="F3F4FF"/>
            <w:vAlign w:val="center"/>
          </w:tcPr>
          <w:p>
            <w:pPr>
              <w:jc w:val="center"/>
            </w:pPr>
            <w:r>
              <w:rPr>
                <w:rFonts w:ascii="Times New Roman" w:hAnsi="Times New Roman"/>
                <w:b w:val="0"/>
                <w:i w:val="0"/>
                <w:sz w:val="20"/>
              </w:rPr>
              <w:t>≈</w:t>
            </w:r>
          </w:p>
        </w:tc>
        <w:tc>
          <w:tcPr>
            <w:tcW w:type="dxa" w:w="1944"/>
            <w:shd w:val="clear" w:color="auto" w:fill="F3F4FF"/>
            <w:vAlign w:val="center"/>
          </w:tcPr>
          <w:p>
            <w:pPr>
              <w:jc w:val="center"/>
            </w:pPr>
            <w:r>
              <w:rPr>
                <w:rFonts w:ascii="Times New Roman" w:hAnsi="Times New Roman"/>
                <w:b w:val="0"/>
                <w:i w:val="0"/>
                <w:sz w:val="20"/>
              </w:rPr>
              <w:t>≥ 0.40</w:t>
            </w:r>
          </w:p>
        </w:tc>
        <w:tc>
          <w:tcPr>
            <w:tcW w:type="dxa" w:w="1656"/>
            <w:shd w:val="clear" w:color="auto" w:fill="F3F4FF"/>
            <w:vAlign w:val="center"/>
          </w:tcPr>
          <w:p>
            <w:pPr>
              <w:jc w:val="center"/>
            </w:pPr>
            <w:r>
              <w:rPr>
                <w:rFonts w:ascii="Times New Roman" w:hAnsi="Times New Roman"/>
                <w:b w:val="0"/>
                <w:i w:val="0"/>
                <w:sz w:val="20"/>
              </w:rPr>
              <w:t>&lt; 0.35</w:t>
            </w:r>
          </w:p>
        </w:tc>
        <w:tc>
          <w:tcPr>
            <w:tcW w:type="dxa" w:w="3816"/>
            <w:shd w:val="clear" w:color="auto" w:fill="F3F4FF"/>
            <w:vAlign w:val="center"/>
          </w:tcPr>
          <w:p>
            <w:pPr>
              <w:jc w:val="center"/>
            </w:pPr>
            <w:r>
              <w:rPr>
                <w:rFonts w:ascii="Times New Roman" w:hAnsi="Times New Roman"/>
                <w:b w:val="0"/>
                <w:i w:val="0"/>
                <w:sz w:val="20"/>
              </w:rPr>
              <w:t>Block automation; human review</w:t>
            </w:r>
          </w:p>
        </w:tc>
      </w:tr>
      <w:tr>
        <w:tc>
          <w:tcPr>
            <w:tcW w:type="dxa" w:w="1224"/>
            <w:vAlign w:val="center"/>
          </w:tcPr>
          <w:p>
            <w:pPr>
              <w:jc w:val="center"/>
            </w:pPr>
            <w:r>
              <w:rPr>
                <w:rFonts w:ascii="Times New Roman" w:hAnsi="Times New Roman"/>
                <w:b w:val="0"/>
                <w:i w:val="0"/>
                <w:sz w:val="20"/>
              </w:rPr>
              <w:t>Vapor</w:t>
            </w:r>
          </w:p>
        </w:tc>
        <w:tc>
          <w:tcPr>
            <w:tcW w:type="dxa" w:w="792"/>
            <w:vAlign w:val="center"/>
          </w:tcPr>
          <w:p>
            <w:pPr>
              <w:jc w:val="center"/>
            </w:pPr>
            <w:r>
              <w:rPr>
                <w:rFonts w:ascii="Times New Roman" w:hAnsi="Times New Roman"/>
                <w:b w:val="0"/>
                <w:i w:val="0"/>
                <w:sz w:val="20"/>
              </w:rPr>
              <w:t>~</w:t>
            </w:r>
          </w:p>
        </w:tc>
        <w:tc>
          <w:tcPr>
            <w:tcW w:type="dxa" w:w="1944"/>
            <w:vAlign w:val="center"/>
          </w:tcPr>
          <w:p>
            <w:pPr>
              <w:jc w:val="center"/>
            </w:pPr>
            <w:r>
              <w:rPr>
                <w:rFonts w:ascii="Times New Roman" w:hAnsi="Times New Roman"/>
                <w:b w:val="0"/>
                <w:i w:val="0"/>
                <w:sz w:val="20"/>
              </w:rPr>
              <w:t>&lt; 0.40</w:t>
            </w:r>
          </w:p>
        </w:tc>
        <w:tc>
          <w:tcPr>
            <w:tcW w:type="dxa" w:w="1656"/>
            <w:vAlign w:val="center"/>
          </w:tcPr>
          <w:p>
            <w:pPr>
              <w:jc w:val="center"/>
            </w:pPr>
            <w:r>
              <w:rPr>
                <w:rFonts w:ascii="Times New Roman" w:hAnsi="Times New Roman"/>
                <w:b w:val="0"/>
                <w:i w:val="0"/>
                <w:sz w:val="20"/>
              </w:rPr>
              <w:t>any</w:t>
            </w:r>
          </w:p>
        </w:tc>
        <w:tc>
          <w:tcPr>
            <w:tcW w:type="dxa" w:w="3816"/>
            <w:vAlign w:val="center"/>
          </w:tcPr>
          <w:p>
            <w:pPr>
              <w:jc w:val="center"/>
            </w:pPr>
            <w:r>
              <w:rPr>
                <w:rFonts w:ascii="Times New Roman" w:hAnsi="Times New Roman"/>
                <w:b w:val="0"/>
                <w:i w:val="0"/>
                <w:sz w:val="20"/>
              </w:rPr>
              <w:t>Block; escalate to specialist</w:t>
            </w:r>
          </w:p>
        </w:tc>
      </w:tr>
    </w:tbl>
    <w:p>
      <w:pPr>
        <w:spacing w:after="160"/>
      </w:pPr>
    </w:p>
    <w:p>
      <w:pPr>
        <w:spacing w:before="280" w:after="80"/>
      </w:pPr>
      <w:r>
        <w:rPr>
          <w:rFonts w:ascii="Times New Roman" w:hAnsi="Times New Roman"/>
          <w:b/>
          <w:i w:val="0"/>
          <w:color w:val="1A237E"/>
          <w:sz w:val="26"/>
        </w:rPr>
        <w:t>4.  PHANTASM Hallucination Benchmark Dataset</w:t>
      </w:r>
    </w:p>
    <w:p>
      <w:pPr>
        <w:spacing w:before="0" w:after="140"/>
        <w:ind w:firstLine="432"/>
        <w:jc w:val="both"/>
      </w:pPr>
      <w:r>
        <w:rPr>
          <w:rFonts w:ascii="Times New Roman" w:hAnsi="Times New Roman"/>
          <w:b w:val="0"/>
          <w:i w:val="0"/>
          <w:sz w:val="22"/>
        </w:rPr>
        <w:t>To support reproducible evaluation of all three PHANTASM pillars, we release the PHANTASM Hallucination Benchmark (PHB) on HuggingFace Hub under Apache 2.0:</w:t>
      </w:r>
    </w:p>
    <w:p>
      <w:pPr>
        <w:spacing w:before="80" w:after="160"/>
        <w:ind w:left="432" w:right="432"/>
        <w:shd w:val="clear" w:color="auto" w:fill="DCF5F5"/>
      </w:pPr>
      <w:r>
        <w:rPr>
          <w:rFonts w:ascii="Times New Roman" w:hAnsi="Times New Roman"/>
          <w:b w:val="0"/>
          <w:i/>
          <w:color w:val="283593"/>
          <w:sz w:val="20"/>
        </w:rPr>
        <w:t>Dataset: huggingface.co/datasets/vigneshwar234/phantasm-hallucination-benchmark  |  pip install datasets  |  load_dataset('vigneshwar234/phantasm-hallucination-benchmark', 'hgt')</w:t>
      </w:r>
    </w:p>
    <w:p>
      <w:pPr>
        <w:spacing w:before="200" w:after="60"/>
      </w:pPr>
      <w:r>
        <w:rPr>
          <w:rFonts w:ascii="Times New Roman" w:hAnsi="Times New Roman"/>
          <w:b/>
          <w:i w:val="0"/>
          <w:color w:val="283593"/>
          <w:sz w:val="22"/>
        </w:rPr>
        <w:t>4.1  Dataset Structure</w:t>
      </w:r>
    </w:p>
    <w:p>
      <w:pPr>
        <w:spacing w:before="0" w:after="140"/>
        <w:ind w:firstLine="432"/>
        <w:jc w:val="both"/>
      </w:pPr>
      <w:r>
        <w:rPr>
          <w:rFonts w:ascii="Times New Roman" w:hAnsi="Times New Roman"/>
          <w:b w:val="0"/>
          <w:i w:val="0"/>
          <w:sz w:val="22"/>
        </w:rPr>
        <w:t>PHB is organized as three independent configs, one per pillar, each with its own schema and split structure. All examples are annotated by the author and cross-validated against authoritative sources.</w:t>
      </w:r>
    </w:p>
    <w:p>
      <w:pPr>
        <w:spacing w:before="160" w:after="80"/>
        <w:jc w:val="center"/>
      </w:pPr>
      <w:r>
        <w:rPr>
          <w:rFonts w:ascii="Times New Roman" w:hAnsi="Times New Roman"/>
          <w:b/>
          <w:i w:val="0"/>
          <w:sz w:val="20"/>
        </w:rPr>
        <w:t>Table 3. PHANTASM Hallucination Benchmark — split statistics.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008"/>
            <w:shd w:val="clear" w:color="auto" w:fill="1A237E"/>
            <w:vAlign w:val="center"/>
          </w:tcPr>
          <w:p>
            <w:pPr>
              <w:jc w:val="center"/>
            </w:pPr>
            <w:r>
              <w:rPr>
                <w:rFonts w:ascii="Times New Roman" w:hAnsi="Times New Roman"/>
                <w:b/>
                <w:i w:val="0"/>
                <w:color w:val="FFFFFF"/>
                <w:sz w:val="20"/>
              </w:rPr>
              <w:t>Config</w:t>
            </w:r>
          </w:p>
        </w:tc>
        <w:tc>
          <w:tcPr>
            <w:tcW w:type="dxa" w:w="1008"/>
            <w:shd w:val="clear" w:color="auto" w:fill="1A237E"/>
            <w:vAlign w:val="center"/>
          </w:tcPr>
          <w:p>
            <w:pPr>
              <w:jc w:val="center"/>
            </w:pPr>
            <w:r>
              <w:rPr>
                <w:rFonts w:ascii="Times New Roman" w:hAnsi="Times New Roman"/>
                <w:b/>
                <w:i w:val="0"/>
                <w:color w:val="FFFFFF"/>
                <w:sz w:val="20"/>
              </w:rPr>
              <w:t>Pillar</w:t>
            </w:r>
          </w:p>
        </w:tc>
        <w:tc>
          <w:tcPr>
            <w:tcW w:type="dxa" w:w="1440"/>
            <w:shd w:val="clear" w:color="auto" w:fill="1A237E"/>
            <w:vAlign w:val="center"/>
          </w:tcPr>
          <w:p>
            <w:pPr>
              <w:jc w:val="center"/>
            </w:pPr>
            <w:r>
              <w:rPr>
                <w:rFonts w:ascii="Times New Roman" w:hAnsi="Times New Roman"/>
                <w:b/>
                <w:i w:val="0"/>
                <w:color w:val="FFFFFF"/>
                <w:sz w:val="20"/>
              </w:rPr>
              <w:t>Split</w:t>
            </w:r>
          </w:p>
        </w:tc>
        <w:tc>
          <w:tcPr>
            <w:tcW w:type="dxa" w:w="1296"/>
            <w:shd w:val="clear" w:color="auto" w:fill="1A237E"/>
            <w:vAlign w:val="center"/>
          </w:tcPr>
          <w:p>
            <w:pPr>
              <w:jc w:val="center"/>
            </w:pPr>
            <w:r>
              <w:rPr>
                <w:rFonts w:ascii="Times New Roman" w:hAnsi="Times New Roman"/>
                <w:b/>
                <w:i w:val="0"/>
                <w:color w:val="FFFFFF"/>
                <w:sz w:val="20"/>
              </w:rPr>
              <w:t>Examples</w:t>
            </w:r>
          </w:p>
        </w:tc>
        <w:tc>
          <w:tcPr>
            <w:tcW w:type="dxa" w:w="1152"/>
            <w:shd w:val="clear" w:color="auto" w:fill="1A237E"/>
            <w:vAlign w:val="center"/>
          </w:tcPr>
          <w:p>
            <w:pPr>
              <w:jc w:val="center"/>
            </w:pPr>
            <w:r>
              <w:rPr>
                <w:rFonts w:ascii="Times New Roman" w:hAnsi="Times New Roman"/>
                <w:b/>
                <w:i w:val="0"/>
                <w:color w:val="FFFFFF"/>
                <w:sz w:val="20"/>
              </w:rPr>
              <w:t>Domains</w:t>
            </w:r>
          </w:p>
        </w:tc>
        <w:tc>
          <w:tcPr>
            <w:tcW w:type="dxa" w:w="4392"/>
            <w:shd w:val="clear" w:color="auto" w:fill="1A237E"/>
            <w:vAlign w:val="center"/>
          </w:tcPr>
          <w:p>
            <w:pPr>
              <w:jc w:val="center"/>
            </w:pPr>
            <w:r>
              <w:rPr>
                <w:rFonts w:ascii="Times New Roman" w:hAnsi="Times New Roman"/>
                <w:b/>
                <w:i w:val="0"/>
                <w:color w:val="FFFFFF"/>
                <w:sz w:val="20"/>
              </w:rPr>
              <w:t>Key Fields</w:t>
            </w:r>
          </w:p>
        </w:tc>
      </w:tr>
      <w:tr>
        <w:tc>
          <w:tcPr>
            <w:tcW w:type="dxa" w:w="1008"/>
            <w:shd w:val="clear" w:color="auto" w:fill="F3F4FF"/>
            <w:vAlign w:val="center"/>
          </w:tcPr>
          <w:p>
            <w:pPr>
              <w:jc w:val="center"/>
            </w:pPr>
            <w:r>
              <w:rPr>
                <w:rFonts w:ascii="Times New Roman" w:hAnsi="Times New Roman"/>
                <w:b w:val="0"/>
                <w:i w:val="0"/>
                <w:sz w:val="20"/>
              </w:rPr>
              <w:t>hgt</w:t>
            </w:r>
          </w:p>
        </w:tc>
        <w:tc>
          <w:tcPr>
            <w:tcW w:type="dxa" w:w="1008"/>
            <w:shd w:val="clear" w:color="auto" w:fill="F3F4FF"/>
            <w:vAlign w:val="center"/>
          </w:tcPr>
          <w:p>
            <w:pPr>
              <w:jc w:val="center"/>
            </w:pPr>
            <w:r>
              <w:rPr>
                <w:rFonts w:ascii="Times New Roman" w:hAnsi="Times New Roman"/>
                <w:b w:val="0"/>
                <w:i w:val="0"/>
                <w:sz w:val="20"/>
              </w:rPr>
              <w:t>HGT</w:t>
            </w:r>
          </w:p>
        </w:tc>
        <w:tc>
          <w:tcPr>
            <w:tcW w:type="dxa" w:w="1440"/>
            <w:shd w:val="clear" w:color="auto" w:fill="F3F4FF"/>
            <w:vAlign w:val="center"/>
          </w:tcPr>
          <w:p>
            <w:pPr>
              <w:jc w:val="center"/>
            </w:pPr>
            <w:r>
              <w:rPr>
                <w:rFonts w:ascii="Times New Roman" w:hAnsi="Times New Roman"/>
                <w:b w:val="0"/>
                <w:i w:val="0"/>
                <w:sz w:val="20"/>
              </w:rPr>
              <w:t>train / test</w:t>
            </w:r>
          </w:p>
        </w:tc>
        <w:tc>
          <w:tcPr>
            <w:tcW w:type="dxa" w:w="1296"/>
            <w:shd w:val="clear" w:color="auto" w:fill="F3F4FF"/>
            <w:vAlign w:val="center"/>
          </w:tcPr>
          <w:p>
            <w:pPr>
              <w:jc w:val="center"/>
            </w:pPr>
            <w:r>
              <w:rPr>
                <w:rFonts w:ascii="Times New Roman" w:hAnsi="Times New Roman"/>
                <w:b w:val="0"/>
                <w:i w:val="0"/>
                <w:sz w:val="20"/>
              </w:rPr>
              <w:t>30 / 10</w:t>
            </w:r>
          </w:p>
        </w:tc>
        <w:tc>
          <w:tcPr>
            <w:tcW w:type="dxa" w:w="1152"/>
            <w:shd w:val="clear" w:color="auto" w:fill="F3F4FF"/>
            <w:vAlign w:val="center"/>
          </w:tcPr>
          <w:p>
            <w:pPr>
              <w:jc w:val="center"/>
            </w:pPr>
            <w:r>
              <w:rPr>
                <w:rFonts w:ascii="Times New Roman" w:hAnsi="Times New Roman"/>
                <w:b w:val="0"/>
                <w:i w:val="0"/>
                <w:sz w:val="20"/>
              </w:rPr>
              <w:t>12</w:t>
            </w:r>
          </w:p>
        </w:tc>
        <w:tc>
          <w:tcPr>
            <w:tcW w:type="dxa" w:w="4392"/>
            <w:shd w:val="clear" w:color="auto" w:fill="F3F4FF"/>
            <w:vAlign w:val="center"/>
          </w:tcPr>
          <w:p>
            <w:pPr>
              <w:jc w:val="center"/>
            </w:pPr>
            <w:r>
              <w:rPr>
                <w:rFonts w:ascii="Times New Roman" w:hAnsi="Times New Roman"/>
                <w:b w:val="0"/>
                <w:i w:val="0"/>
                <w:sz w:val="20"/>
              </w:rPr>
              <w:t>text, reference, hallucination_label, severity</w:t>
            </w:r>
          </w:p>
        </w:tc>
      </w:tr>
      <w:tr>
        <w:tc>
          <w:tcPr>
            <w:tcW w:type="dxa" w:w="1008"/>
            <w:vAlign w:val="center"/>
          </w:tcPr>
          <w:p>
            <w:pPr>
              <w:jc w:val="center"/>
            </w:pPr>
            <w:r>
              <w:rPr>
                <w:rFonts w:ascii="Times New Roman" w:hAnsi="Times New Roman"/>
                <w:b w:val="0"/>
                <w:i w:val="0"/>
                <w:sz w:val="20"/>
              </w:rPr>
              <w:t>cmn</w:t>
            </w:r>
          </w:p>
        </w:tc>
        <w:tc>
          <w:tcPr>
            <w:tcW w:type="dxa" w:w="1008"/>
            <w:vAlign w:val="center"/>
          </w:tcPr>
          <w:p>
            <w:pPr>
              <w:jc w:val="center"/>
            </w:pPr>
            <w:r>
              <w:rPr>
                <w:rFonts w:ascii="Times New Roman" w:hAnsi="Times New Roman"/>
                <w:b w:val="0"/>
                <w:i w:val="0"/>
                <w:sz w:val="20"/>
              </w:rPr>
              <w:t>CMN</w:t>
            </w:r>
          </w:p>
        </w:tc>
        <w:tc>
          <w:tcPr>
            <w:tcW w:type="dxa" w:w="1440"/>
            <w:vAlign w:val="center"/>
          </w:tcPr>
          <w:p>
            <w:pPr>
              <w:jc w:val="center"/>
            </w:pPr>
            <w:r>
              <w:rPr>
                <w:rFonts w:ascii="Times New Roman" w:hAnsi="Times New Roman"/>
                <w:b w:val="0"/>
                <w:i w:val="0"/>
                <w:sz w:val="20"/>
              </w:rPr>
              <w:t>train</w:t>
            </w:r>
          </w:p>
        </w:tc>
        <w:tc>
          <w:tcPr>
            <w:tcW w:type="dxa" w:w="1296"/>
            <w:vAlign w:val="center"/>
          </w:tcPr>
          <w:p>
            <w:pPr>
              <w:jc w:val="center"/>
            </w:pPr>
            <w:r>
              <w:rPr>
                <w:rFonts w:ascii="Times New Roman" w:hAnsi="Times New Roman"/>
                <w:b w:val="0"/>
                <w:i w:val="0"/>
                <w:sz w:val="20"/>
              </w:rPr>
              <w:t>10</w:t>
            </w:r>
          </w:p>
        </w:tc>
        <w:tc>
          <w:tcPr>
            <w:tcW w:type="dxa" w:w="1152"/>
            <w:vAlign w:val="center"/>
          </w:tcPr>
          <w:p>
            <w:pPr>
              <w:jc w:val="center"/>
            </w:pPr>
            <w:r>
              <w:rPr>
                <w:rFonts w:ascii="Times New Roman" w:hAnsi="Times New Roman"/>
                <w:b w:val="0"/>
                <w:i w:val="0"/>
                <w:sz w:val="20"/>
              </w:rPr>
              <w:t>6</w:t>
            </w:r>
          </w:p>
        </w:tc>
        <w:tc>
          <w:tcPr>
            <w:tcW w:type="dxa" w:w="4392"/>
            <w:vAlign w:val="center"/>
          </w:tcPr>
          <w:p>
            <w:pPr>
              <w:jc w:val="center"/>
            </w:pPr>
            <w:r>
              <w:rPr>
                <w:rFonts w:ascii="Times New Roman" w:hAnsi="Times New Roman"/>
                <w:b w:val="0"/>
                <w:i w:val="0"/>
                <w:sz w:val="20"/>
              </w:rPr>
              <w:t>confabulation, factual_reference, novelty_score, plausibility_score</w:t>
            </w:r>
          </w:p>
        </w:tc>
      </w:tr>
      <w:tr>
        <w:tc>
          <w:tcPr>
            <w:tcW w:type="dxa" w:w="1008"/>
            <w:shd w:val="clear" w:color="auto" w:fill="F3F4FF"/>
            <w:vAlign w:val="center"/>
          </w:tcPr>
          <w:p>
            <w:pPr>
              <w:jc w:val="center"/>
            </w:pPr>
            <w:r>
              <w:rPr>
                <w:rFonts w:ascii="Times New Roman" w:hAnsi="Times New Roman"/>
                <w:b w:val="0"/>
                <w:i w:val="0"/>
                <w:sz w:val="20"/>
              </w:rPr>
              <w:t>uc</w:t>
            </w:r>
          </w:p>
        </w:tc>
        <w:tc>
          <w:tcPr>
            <w:tcW w:type="dxa" w:w="1008"/>
            <w:shd w:val="clear" w:color="auto" w:fill="F3F4FF"/>
            <w:vAlign w:val="center"/>
          </w:tcPr>
          <w:p>
            <w:pPr>
              <w:jc w:val="center"/>
            </w:pPr>
            <w:r>
              <w:rPr>
                <w:rFonts w:ascii="Times New Roman" w:hAnsi="Times New Roman"/>
                <w:b w:val="0"/>
                <w:i w:val="0"/>
                <w:sz w:val="20"/>
              </w:rPr>
              <w:t>UC</w:t>
            </w:r>
          </w:p>
        </w:tc>
        <w:tc>
          <w:tcPr>
            <w:tcW w:type="dxa" w:w="1440"/>
            <w:shd w:val="clear" w:color="auto" w:fill="F3F4FF"/>
            <w:vAlign w:val="center"/>
          </w:tcPr>
          <w:p>
            <w:pPr>
              <w:jc w:val="center"/>
            </w:pPr>
            <w:r>
              <w:rPr>
                <w:rFonts w:ascii="Times New Roman" w:hAnsi="Times New Roman"/>
                <w:b w:val="0"/>
                <w:i w:val="0"/>
                <w:sz w:val="20"/>
              </w:rPr>
              <w:t>train</w:t>
            </w:r>
          </w:p>
        </w:tc>
        <w:tc>
          <w:tcPr>
            <w:tcW w:type="dxa" w:w="1296"/>
            <w:shd w:val="clear" w:color="auto" w:fill="F3F4FF"/>
            <w:vAlign w:val="center"/>
          </w:tcPr>
          <w:p>
            <w:pPr>
              <w:jc w:val="center"/>
            </w:pPr>
            <w:r>
              <w:rPr>
                <w:rFonts w:ascii="Times New Roman" w:hAnsi="Times New Roman"/>
                <w:b w:val="0"/>
                <w:i w:val="0"/>
                <w:sz w:val="20"/>
              </w:rPr>
              <w:t>20</w:t>
            </w:r>
          </w:p>
        </w:tc>
        <w:tc>
          <w:tcPr>
            <w:tcW w:type="dxa" w:w="1152"/>
            <w:shd w:val="clear" w:color="auto" w:fill="F3F4FF"/>
            <w:vAlign w:val="center"/>
          </w:tcPr>
          <w:p>
            <w:pPr>
              <w:jc w:val="center"/>
            </w:pPr>
            <w:r>
              <w:rPr>
                <w:rFonts w:ascii="Times New Roman" w:hAnsi="Times New Roman"/>
                <w:b w:val="0"/>
                <w:i w:val="0"/>
                <w:sz w:val="20"/>
              </w:rPr>
              <w:t>9</w:t>
            </w:r>
          </w:p>
        </w:tc>
        <w:tc>
          <w:tcPr>
            <w:tcW w:type="dxa" w:w="4392"/>
            <w:shd w:val="clear" w:color="auto" w:fill="F3F4FF"/>
            <w:vAlign w:val="center"/>
          </w:tcPr>
          <w:p>
            <w:pPr>
              <w:jc w:val="center"/>
            </w:pPr>
            <w:r>
              <w:rPr>
                <w:rFonts w:ascii="Times New Roman" w:hAnsi="Times New Roman"/>
                <w:b w:val="0"/>
                <w:i w:val="0"/>
                <w:sz w:val="20"/>
              </w:rPr>
              <w:t>text, raw_confidence, calibrated_confidence, reliability_tier, correct</w:t>
            </w:r>
          </w:p>
        </w:tc>
      </w:tr>
    </w:tbl>
    <w:p>
      <w:pPr>
        <w:spacing w:after="160"/>
      </w:pPr>
    </w:p>
    <w:p>
      <w:pPr>
        <w:spacing w:before="200" w:after="60"/>
      </w:pPr>
      <w:r>
        <w:rPr>
          <w:rFonts w:ascii="Times New Roman" w:hAnsi="Times New Roman"/>
          <w:b/>
          <w:i w:val="0"/>
          <w:color w:val="283593"/>
          <w:sz w:val="22"/>
        </w:rPr>
        <w:t>4.2  HGT Config Schema</w:t>
      </w:r>
    </w:p>
    <w:p>
      <w:pPr>
        <w:spacing w:before="0" w:after="140"/>
        <w:ind w:firstLine="432"/>
        <w:jc w:val="both"/>
      </w:pPr>
      <w:r>
        <w:rPr>
          <w:rFonts w:ascii="Times New Roman" w:hAnsi="Times New Roman"/>
          <w:b w:val="0"/>
          <w:i w:val="0"/>
          <w:sz w:val="22"/>
        </w:rPr>
        <w:t>Each example provides a model-generated text (which may contain hallucinations), a factual reference passage, a binary hallucination label (0=faithful, 1=hallucinated), a domain label (12 domains including history, science, medicine, technology, geography, biology, physics, mathematics, art, literature, environment, and ML), and a severity label (none/medium/high) reflecting the degree of factual deviation.</w:t>
      </w:r>
    </w:p>
    <w:p>
      <w:pPr>
        <w:spacing w:before="200" w:after="60"/>
      </w:pPr>
      <w:r>
        <w:rPr>
          <w:rFonts w:ascii="Times New Roman" w:hAnsi="Times New Roman"/>
          <w:b/>
          <w:i w:val="0"/>
          <w:color w:val="283593"/>
          <w:sz w:val="22"/>
        </w:rPr>
        <w:t>4.3  CMN Config Schema</w:t>
      </w:r>
    </w:p>
    <w:p>
      <w:pPr>
        <w:spacing w:before="0" w:after="140"/>
        <w:ind w:firstLine="432"/>
        <w:jc w:val="both"/>
      </w:pPr>
      <w:r>
        <w:rPr>
          <w:rFonts w:ascii="Times New Roman" w:hAnsi="Times New Roman"/>
          <w:b w:val="0"/>
          <w:i w:val="0"/>
          <w:sz w:val="22"/>
        </w:rPr>
        <w:t>Each example provides a confabulated text (LLM creative output), a factual reference passage from published literature, human-assigned novelty and plausibility scores, an application domain, and a hypothesis quality label (high/medium/low). Examples span drug discovery, material science, neuroscience, oncology, and nutrition science — domains where confabulation-derived hypotheses have the highest practical value.</w:t>
      </w:r>
    </w:p>
    <w:p>
      <w:pPr>
        <w:spacing w:before="200" w:after="60"/>
      </w:pPr>
      <w:r>
        <w:rPr>
          <w:rFonts w:ascii="Times New Roman" w:hAnsi="Times New Roman"/>
          <w:b/>
          <w:i w:val="0"/>
          <w:color w:val="283593"/>
          <w:sz w:val="22"/>
        </w:rPr>
        <w:t>4.4  UC Config Schema</w:t>
      </w:r>
    </w:p>
    <w:p>
      <w:pPr>
        <w:spacing w:before="0" w:after="140"/>
        <w:ind w:firstLine="432"/>
        <w:jc w:val="both"/>
      </w:pPr>
      <w:r>
        <w:rPr>
          <w:rFonts w:ascii="Times New Roman" w:hAnsi="Times New Roman"/>
          <w:b w:val="0"/>
          <w:i w:val="0"/>
          <w:sz w:val="22"/>
        </w:rPr>
        <w:t>Each example provides a factual statement, the raw uncalibrated model confidence, the post-UC calibrated confidence, epistemic uncertainty, aleatoric uncertainty, the PHANTASM reliability tier, and a binary correctness label. UC examples span 9 domains and are balanced across the four reliability tiers to enable proper calibration evaluation.</w:t>
      </w:r>
    </w:p>
    <w:p>
      <w:pPr>
        <w:spacing w:before="280" w:after="80"/>
      </w:pPr>
      <w:r>
        <w:rPr>
          <w:rFonts w:ascii="Times New Roman" w:hAnsi="Times New Roman"/>
          <w:b/>
          <w:i w:val="0"/>
          <w:color w:val="1A237E"/>
          <w:sz w:val="26"/>
        </w:rPr>
        <w:t>5.  Experiments</w:t>
      </w:r>
    </w:p>
    <w:p>
      <w:pPr>
        <w:spacing w:before="200" w:after="60"/>
      </w:pPr>
      <w:r>
        <w:rPr>
          <w:rFonts w:ascii="Times New Roman" w:hAnsi="Times New Roman"/>
          <w:b/>
          <w:i w:val="0"/>
          <w:color w:val="283593"/>
          <w:sz w:val="22"/>
        </w:rPr>
        <w:t>5.1  Setup</w:t>
      </w:r>
    </w:p>
    <w:p>
      <w:pPr>
        <w:spacing w:before="0" w:after="140"/>
        <w:ind w:firstLine="432"/>
        <w:jc w:val="both"/>
      </w:pPr>
      <w:r>
        <w:rPr>
          <w:rFonts w:ascii="Times New Roman" w:hAnsi="Times New Roman"/>
          <w:b w:val="0"/>
          <w:i w:val="0"/>
          <w:sz w:val="22"/>
        </w:rPr>
        <w:t>Benchmarks: (1) PHB hgt_test (10 examples, held-out from dataset above); (2) potsawee/wiki_bio_gpt3_hallucination — 7,830 sentence-level GPT-3 Wikipedia bio hallucination annotations; (3) vectara/hallucinated-faithfulness-benchmark (Vectara HFB) — 1,000 passage-level faithfulness annotations. Backbone models: GPT-2 (124M, Radford et al. 2019) and LLaMA-7B (Touvron et al. 2023), both loaded from HuggingFace Hub in float32 without quantization. Baselines: SAPLMA, SelfCheckGPT-BERTScore, FActScoring, uncalibrated model, temperature scaling, deep ensembles, and RAG-augmented generation. All baselines use publicly-released implementations.</w:t>
      </w:r>
    </w:p>
    <w:p>
      <w:pPr>
        <w:spacing w:before="200" w:after="60"/>
      </w:pPr>
      <w:r>
        <w:rPr>
          <w:rFonts w:ascii="Times New Roman" w:hAnsi="Times New Roman"/>
          <w:b/>
          <w:i w:val="0"/>
          <w:color w:val="283593"/>
          <w:sz w:val="22"/>
        </w:rPr>
        <w:t>5.2  HGT: Hallucination Detection</w:t>
      </w:r>
    </w:p>
    <w:p>
      <w:pPr>
        <w:spacing w:before="160" w:after="80"/>
        <w:jc w:val="center"/>
      </w:pPr>
      <w:r>
        <w:rPr>
          <w:rFonts w:ascii="Times New Roman" w:hAnsi="Times New Roman"/>
          <w:b/>
          <w:i w:val="0"/>
          <w:sz w:val="20"/>
        </w:rPr>
        <w:t>Table 4. HGT results vs. baselines on hallucination detection (binary classification).</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1368"/>
            <w:shd w:val="clear" w:color="auto" w:fill="1A237E"/>
            <w:vAlign w:val="center"/>
          </w:tcPr>
          <w:p>
            <w:pPr>
              <w:jc w:val="center"/>
            </w:pPr>
            <w:r>
              <w:rPr>
                <w:rFonts w:ascii="Times New Roman" w:hAnsi="Times New Roman"/>
                <w:b/>
                <w:i w:val="0"/>
                <w:color w:val="FFFFFF"/>
                <w:sz w:val="20"/>
              </w:rPr>
              <w:t>Model</w:t>
            </w:r>
          </w:p>
        </w:tc>
        <w:tc>
          <w:tcPr>
            <w:tcW w:type="dxa" w:w="1656"/>
            <w:shd w:val="clear" w:color="auto" w:fill="1A237E"/>
            <w:vAlign w:val="center"/>
          </w:tcPr>
          <w:p>
            <w:pPr>
              <w:jc w:val="center"/>
            </w:pPr>
            <w:r>
              <w:rPr>
                <w:rFonts w:ascii="Times New Roman" w:hAnsi="Times New Roman"/>
                <w:b/>
                <w:i w:val="0"/>
                <w:color w:val="FFFFFF"/>
                <w:sz w:val="20"/>
              </w:rPr>
              <w:t>Dataset</w:t>
            </w:r>
          </w:p>
        </w:tc>
        <w:tc>
          <w:tcPr>
            <w:tcW w:type="dxa" w:w="1872"/>
            <w:shd w:val="clear" w:color="auto" w:fill="1A237E"/>
            <w:vAlign w:val="center"/>
          </w:tcPr>
          <w:p>
            <w:pPr>
              <w:jc w:val="center"/>
            </w:pPr>
            <w:r>
              <w:rPr>
                <w:rFonts w:ascii="Times New Roman" w:hAnsi="Times New Roman"/>
                <w:b/>
                <w:i w:val="0"/>
                <w:color w:val="FFFFFF"/>
                <w:sz w:val="20"/>
              </w:rPr>
              <w:t>Method</w:t>
            </w:r>
          </w:p>
        </w:tc>
        <w:tc>
          <w:tcPr>
            <w:tcW w:type="dxa" w:w="1123"/>
            <w:shd w:val="clear" w:color="auto" w:fill="1A237E"/>
            <w:vAlign w:val="center"/>
          </w:tcPr>
          <w:p>
            <w:pPr>
              <w:jc w:val="center"/>
            </w:pPr>
            <w:r>
              <w:rPr>
                <w:rFonts w:ascii="Times New Roman" w:hAnsi="Times New Roman"/>
                <w:b/>
                <w:i w:val="0"/>
                <w:color w:val="FFFFFF"/>
                <w:sz w:val="20"/>
              </w:rPr>
              <w:t>AUROC ↑</w:t>
            </w:r>
          </w:p>
        </w:tc>
        <w:tc>
          <w:tcPr>
            <w:tcW w:type="dxa" w:w="864"/>
            <w:shd w:val="clear" w:color="auto" w:fill="1A237E"/>
            <w:vAlign w:val="center"/>
          </w:tcPr>
          <w:p>
            <w:pPr>
              <w:jc w:val="center"/>
            </w:pPr>
            <w:r>
              <w:rPr>
                <w:rFonts w:ascii="Times New Roman" w:hAnsi="Times New Roman"/>
                <w:b/>
                <w:i w:val="0"/>
                <w:color w:val="FFFFFF"/>
                <w:sz w:val="20"/>
              </w:rPr>
              <w:t>F1 ↑</w:t>
            </w:r>
          </w:p>
        </w:tc>
        <w:tc>
          <w:tcPr>
            <w:tcW w:type="dxa" w:w="936"/>
            <w:shd w:val="clear" w:color="auto" w:fill="1A237E"/>
            <w:vAlign w:val="center"/>
          </w:tcPr>
          <w:p>
            <w:pPr>
              <w:jc w:val="center"/>
            </w:pPr>
            <w:r>
              <w:rPr>
                <w:rFonts w:ascii="Times New Roman" w:hAnsi="Times New Roman"/>
                <w:b/>
                <w:i w:val="0"/>
                <w:color w:val="FFFFFF"/>
                <w:sz w:val="20"/>
              </w:rPr>
              <w:t>Prec. ↑</w:t>
            </w:r>
          </w:p>
        </w:tc>
        <w:tc>
          <w:tcPr>
            <w:tcW w:type="dxa" w:w="1123"/>
            <w:shd w:val="clear" w:color="auto" w:fill="1A237E"/>
            <w:vAlign w:val="center"/>
          </w:tcPr>
          <w:p>
            <w:pPr>
              <w:jc w:val="center"/>
            </w:pPr>
            <w:r>
              <w:rPr>
                <w:rFonts w:ascii="Times New Roman" w:hAnsi="Times New Roman"/>
                <w:b/>
                <w:i w:val="0"/>
                <w:color w:val="FFFFFF"/>
                <w:sz w:val="20"/>
              </w:rPr>
              <w:t>Recall ↑</w:t>
            </w:r>
          </w:p>
        </w:tc>
        <w:tc>
          <w:tcPr>
            <w:tcW w:type="dxa" w:w="864"/>
            <w:shd w:val="clear" w:color="auto" w:fill="1A237E"/>
            <w:vAlign w:val="center"/>
          </w:tcPr>
          <w:p>
            <w:pPr>
              <w:jc w:val="center"/>
            </w:pPr>
            <w:r>
              <w:rPr>
                <w:rFonts w:ascii="Times New Roman" w:hAnsi="Times New Roman"/>
                <w:b/>
                <w:i w:val="0"/>
                <w:color w:val="FFFFFF"/>
                <w:sz w:val="20"/>
              </w:rPr>
              <w:t>FP ↓</w:t>
            </w:r>
          </w:p>
        </w:tc>
        <w:tc>
          <w:tcPr>
            <w:tcW w:type="dxa" w:w="864"/>
            <w:shd w:val="clear" w:color="auto" w:fill="1A237E"/>
            <w:vAlign w:val="center"/>
          </w:tcPr>
          <w:p>
            <w:pPr>
              <w:jc w:val="center"/>
            </w:pPr>
            <w:r>
              <w:rPr>
                <w:rFonts w:ascii="Times New Roman" w:hAnsi="Times New Roman"/>
                <w:b/>
                <w:i w:val="0"/>
                <w:color w:val="FFFFFF"/>
                <w:sz w:val="20"/>
              </w:rPr>
              <w:t>FN ↓</w:t>
            </w:r>
          </w:p>
        </w:tc>
      </w:tr>
      <w:tr>
        <w:tc>
          <w:tcPr>
            <w:tcW w:type="dxa" w:w="1368"/>
            <w:shd w:val="clear" w:color="auto" w:fill="F3F4FF"/>
            <w:vAlign w:val="center"/>
          </w:tcPr>
          <w:p>
            <w:pPr>
              <w:jc w:val="center"/>
            </w:pPr>
            <w:r>
              <w:rPr>
                <w:rFonts w:ascii="Times New Roman" w:hAnsi="Times New Roman"/>
                <w:b w:val="0"/>
                <w:i w:val="0"/>
                <w:sz w:val="20"/>
              </w:rPr>
              <w:t>GPT-2</w:t>
            </w:r>
          </w:p>
        </w:tc>
        <w:tc>
          <w:tcPr>
            <w:tcW w:type="dxa" w:w="1656"/>
            <w:shd w:val="clear" w:color="auto" w:fill="F3F4FF"/>
            <w:vAlign w:val="center"/>
          </w:tcPr>
          <w:p>
            <w:pPr>
              <w:jc w:val="center"/>
            </w:pPr>
            <w:r>
              <w:rPr>
                <w:rFonts w:ascii="Times New Roman" w:hAnsi="Times New Roman"/>
                <w:b w:val="0"/>
                <w:i w:val="0"/>
                <w:sz w:val="20"/>
              </w:rPr>
              <w:t>Wiki Bio</w:t>
            </w:r>
          </w:p>
        </w:tc>
        <w:tc>
          <w:tcPr>
            <w:tcW w:type="dxa" w:w="1872"/>
            <w:shd w:val="clear" w:color="auto" w:fill="F3F4FF"/>
            <w:vAlign w:val="center"/>
          </w:tcPr>
          <w:p>
            <w:pPr>
              <w:jc w:val="center"/>
            </w:pPr>
            <w:r>
              <w:rPr>
                <w:rFonts w:ascii="Times New Roman" w:hAnsi="Times New Roman"/>
                <w:b w:val="0"/>
                <w:i w:val="0"/>
                <w:sz w:val="20"/>
              </w:rPr>
              <w:t>SAPLMA</w:t>
            </w:r>
          </w:p>
        </w:tc>
        <w:tc>
          <w:tcPr>
            <w:tcW w:type="dxa" w:w="1123"/>
            <w:shd w:val="clear" w:color="auto" w:fill="F3F4FF"/>
            <w:vAlign w:val="center"/>
          </w:tcPr>
          <w:p>
            <w:pPr>
              <w:jc w:val="center"/>
            </w:pPr>
            <w:r>
              <w:rPr>
                <w:rFonts w:ascii="Times New Roman" w:hAnsi="Times New Roman"/>
                <w:b w:val="0"/>
                <w:i w:val="0"/>
                <w:sz w:val="20"/>
              </w:rPr>
              <w:t>0.71</w:t>
            </w:r>
          </w:p>
        </w:tc>
        <w:tc>
          <w:tcPr>
            <w:tcW w:type="dxa" w:w="864"/>
            <w:shd w:val="clear" w:color="auto" w:fill="F3F4FF"/>
            <w:vAlign w:val="center"/>
          </w:tcPr>
          <w:p>
            <w:pPr>
              <w:jc w:val="center"/>
            </w:pPr>
            <w:r>
              <w:rPr>
                <w:rFonts w:ascii="Times New Roman" w:hAnsi="Times New Roman"/>
                <w:b w:val="0"/>
                <w:i w:val="0"/>
                <w:sz w:val="20"/>
              </w:rPr>
              <w:t>0.68</w:t>
            </w:r>
          </w:p>
        </w:tc>
        <w:tc>
          <w:tcPr>
            <w:tcW w:type="dxa" w:w="936"/>
            <w:shd w:val="clear" w:color="auto" w:fill="F3F4FF"/>
            <w:vAlign w:val="center"/>
          </w:tcPr>
          <w:p>
            <w:pPr>
              <w:jc w:val="center"/>
            </w:pPr>
            <w:r>
              <w:rPr>
                <w:rFonts w:ascii="Times New Roman" w:hAnsi="Times New Roman"/>
                <w:b w:val="0"/>
                <w:i w:val="0"/>
                <w:sz w:val="20"/>
              </w:rPr>
              <w:t>0.72</w:t>
            </w:r>
          </w:p>
        </w:tc>
        <w:tc>
          <w:tcPr>
            <w:tcW w:type="dxa" w:w="1123"/>
            <w:shd w:val="clear" w:color="auto" w:fill="F3F4FF"/>
            <w:vAlign w:val="center"/>
          </w:tcPr>
          <w:p>
            <w:pPr>
              <w:jc w:val="center"/>
            </w:pPr>
            <w:r>
              <w:rPr>
                <w:rFonts w:ascii="Times New Roman" w:hAnsi="Times New Roman"/>
                <w:b w:val="0"/>
                <w:i w:val="0"/>
                <w:sz w:val="20"/>
              </w:rPr>
              <w:t>0.65</w:t>
            </w:r>
          </w:p>
        </w:tc>
        <w:tc>
          <w:tcPr>
            <w:tcW w:type="dxa" w:w="864"/>
            <w:shd w:val="clear" w:color="auto" w:fill="F3F4FF"/>
            <w:vAlign w:val="center"/>
          </w:tcPr>
          <w:p>
            <w:pPr>
              <w:jc w:val="center"/>
            </w:pPr>
            <w:r>
              <w:rPr>
                <w:rFonts w:ascii="Times New Roman" w:hAnsi="Times New Roman"/>
                <w:b w:val="0"/>
                <w:i w:val="0"/>
                <w:sz w:val="20"/>
              </w:rPr>
              <w:t>18.1%</w:t>
            </w:r>
          </w:p>
        </w:tc>
        <w:tc>
          <w:tcPr>
            <w:tcW w:type="dxa" w:w="864"/>
            <w:shd w:val="clear" w:color="auto" w:fill="F3F4FF"/>
            <w:vAlign w:val="center"/>
          </w:tcPr>
          <w:p>
            <w:pPr>
              <w:jc w:val="center"/>
            </w:pPr>
            <w:r>
              <w:rPr>
                <w:rFonts w:ascii="Times New Roman" w:hAnsi="Times New Roman"/>
                <w:b w:val="0"/>
                <w:i w:val="0"/>
                <w:sz w:val="20"/>
              </w:rPr>
              <w:t>35.2%</w:t>
            </w:r>
          </w:p>
        </w:tc>
      </w:tr>
      <w:tr>
        <w:tc>
          <w:tcPr>
            <w:tcW w:type="dxa" w:w="1368"/>
            <w:vAlign w:val="center"/>
          </w:tcPr>
          <w:p>
            <w:pPr>
              <w:jc w:val="center"/>
            </w:pPr>
            <w:r>
              <w:rPr>
                <w:rFonts w:ascii="Times New Roman" w:hAnsi="Times New Roman"/>
                <w:b w:val="0"/>
                <w:i w:val="0"/>
                <w:sz w:val="20"/>
              </w:rPr>
              <w:t>GPT-2</w:t>
            </w:r>
          </w:p>
        </w:tc>
        <w:tc>
          <w:tcPr>
            <w:tcW w:type="dxa" w:w="1656"/>
            <w:vAlign w:val="center"/>
          </w:tcPr>
          <w:p>
            <w:pPr>
              <w:jc w:val="center"/>
            </w:pPr>
            <w:r>
              <w:rPr>
                <w:rFonts w:ascii="Times New Roman" w:hAnsi="Times New Roman"/>
                <w:b w:val="0"/>
                <w:i w:val="0"/>
                <w:sz w:val="20"/>
              </w:rPr>
              <w:t>Wiki Bio</w:t>
            </w:r>
          </w:p>
        </w:tc>
        <w:tc>
          <w:tcPr>
            <w:tcW w:type="dxa" w:w="1872"/>
            <w:vAlign w:val="center"/>
          </w:tcPr>
          <w:p>
            <w:pPr>
              <w:jc w:val="center"/>
            </w:pPr>
            <w:r>
              <w:rPr>
                <w:rFonts w:ascii="Times New Roman" w:hAnsi="Times New Roman"/>
                <w:b w:val="0"/>
                <w:i w:val="0"/>
                <w:sz w:val="20"/>
              </w:rPr>
              <w:t>SelfCheckGPT</w:t>
            </w:r>
          </w:p>
        </w:tc>
        <w:tc>
          <w:tcPr>
            <w:tcW w:type="dxa" w:w="1123"/>
            <w:vAlign w:val="center"/>
          </w:tcPr>
          <w:p>
            <w:pPr>
              <w:jc w:val="center"/>
            </w:pPr>
            <w:r>
              <w:rPr>
                <w:rFonts w:ascii="Times New Roman" w:hAnsi="Times New Roman"/>
                <w:b w:val="0"/>
                <w:i w:val="0"/>
                <w:sz w:val="20"/>
              </w:rPr>
              <w:t>0.74</w:t>
            </w:r>
          </w:p>
        </w:tc>
        <w:tc>
          <w:tcPr>
            <w:tcW w:type="dxa" w:w="864"/>
            <w:vAlign w:val="center"/>
          </w:tcPr>
          <w:p>
            <w:pPr>
              <w:jc w:val="center"/>
            </w:pPr>
            <w:r>
              <w:rPr>
                <w:rFonts w:ascii="Times New Roman" w:hAnsi="Times New Roman"/>
                <w:b w:val="0"/>
                <w:i w:val="0"/>
                <w:sz w:val="20"/>
              </w:rPr>
              <w:t>0.70</w:t>
            </w:r>
          </w:p>
        </w:tc>
        <w:tc>
          <w:tcPr>
            <w:tcW w:type="dxa" w:w="936"/>
            <w:vAlign w:val="center"/>
          </w:tcPr>
          <w:p>
            <w:pPr>
              <w:jc w:val="center"/>
            </w:pPr>
            <w:r>
              <w:rPr>
                <w:rFonts w:ascii="Times New Roman" w:hAnsi="Times New Roman"/>
                <w:b w:val="0"/>
                <w:i w:val="0"/>
                <w:sz w:val="20"/>
              </w:rPr>
              <w:t>0.75</w:t>
            </w:r>
          </w:p>
        </w:tc>
        <w:tc>
          <w:tcPr>
            <w:tcW w:type="dxa" w:w="1123"/>
            <w:vAlign w:val="center"/>
          </w:tcPr>
          <w:p>
            <w:pPr>
              <w:jc w:val="center"/>
            </w:pPr>
            <w:r>
              <w:rPr>
                <w:rFonts w:ascii="Times New Roman" w:hAnsi="Times New Roman"/>
                <w:b w:val="0"/>
                <w:i w:val="0"/>
                <w:sz w:val="20"/>
              </w:rPr>
              <w:t>0.66</w:t>
            </w:r>
          </w:p>
        </w:tc>
        <w:tc>
          <w:tcPr>
            <w:tcW w:type="dxa" w:w="864"/>
            <w:vAlign w:val="center"/>
          </w:tcPr>
          <w:p>
            <w:pPr>
              <w:jc w:val="center"/>
            </w:pPr>
            <w:r>
              <w:rPr>
                <w:rFonts w:ascii="Times New Roman" w:hAnsi="Times New Roman"/>
                <w:b w:val="0"/>
                <w:i w:val="0"/>
                <w:sz w:val="20"/>
              </w:rPr>
              <w:t>16.4%</w:t>
            </w:r>
          </w:p>
        </w:tc>
        <w:tc>
          <w:tcPr>
            <w:tcW w:type="dxa" w:w="864"/>
            <w:vAlign w:val="center"/>
          </w:tcPr>
          <w:p>
            <w:pPr>
              <w:jc w:val="center"/>
            </w:pPr>
            <w:r>
              <w:rPr>
                <w:rFonts w:ascii="Times New Roman" w:hAnsi="Times New Roman"/>
                <w:b w:val="0"/>
                <w:i w:val="0"/>
                <w:sz w:val="20"/>
              </w:rPr>
              <w:t>33.8%</w:t>
            </w:r>
          </w:p>
        </w:tc>
      </w:tr>
      <w:tr>
        <w:tc>
          <w:tcPr>
            <w:tcW w:type="dxa" w:w="1368"/>
            <w:shd w:val="clear" w:color="auto" w:fill="F3F4FF"/>
            <w:vAlign w:val="center"/>
          </w:tcPr>
          <w:p>
            <w:pPr>
              <w:jc w:val="center"/>
            </w:pPr>
            <w:r>
              <w:rPr>
                <w:rFonts w:ascii="Times New Roman" w:hAnsi="Times New Roman"/>
                <w:b w:val="0"/>
                <w:i w:val="0"/>
                <w:sz w:val="20"/>
              </w:rPr>
              <w:t>GPT-2</w:t>
            </w:r>
          </w:p>
        </w:tc>
        <w:tc>
          <w:tcPr>
            <w:tcW w:type="dxa" w:w="1656"/>
            <w:shd w:val="clear" w:color="auto" w:fill="F3F4FF"/>
            <w:vAlign w:val="center"/>
          </w:tcPr>
          <w:p>
            <w:pPr>
              <w:jc w:val="center"/>
            </w:pPr>
            <w:r>
              <w:rPr>
                <w:rFonts w:ascii="Times New Roman" w:hAnsi="Times New Roman"/>
                <w:b w:val="0"/>
                <w:i w:val="0"/>
                <w:sz w:val="20"/>
              </w:rPr>
              <w:t>Wiki Bio</w:t>
            </w:r>
          </w:p>
        </w:tc>
        <w:tc>
          <w:tcPr>
            <w:tcW w:type="dxa" w:w="1872"/>
            <w:shd w:val="clear" w:color="auto" w:fill="F3F4FF"/>
            <w:vAlign w:val="center"/>
          </w:tcPr>
          <w:p>
            <w:pPr>
              <w:jc w:val="center"/>
            </w:pPr>
            <w:r>
              <w:rPr>
                <w:rFonts w:ascii="Times New Roman" w:hAnsi="Times New Roman"/>
                <w:b/>
                <w:i w:val="0"/>
                <w:sz w:val="20"/>
              </w:rPr>
              <w:t>HGT (ours)</w:t>
            </w:r>
          </w:p>
        </w:tc>
        <w:tc>
          <w:tcPr>
            <w:tcW w:type="dxa" w:w="1123"/>
            <w:shd w:val="clear" w:color="auto" w:fill="F3F4FF"/>
            <w:vAlign w:val="center"/>
          </w:tcPr>
          <w:p>
            <w:pPr>
              <w:jc w:val="center"/>
            </w:pPr>
            <w:r>
              <w:rPr>
                <w:rFonts w:ascii="Times New Roman" w:hAnsi="Times New Roman"/>
                <w:b/>
                <w:i w:val="0"/>
                <w:sz w:val="20"/>
              </w:rPr>
              <w:t>0.79</w:t>
            </w:r>
          </w:p>
        </w:tc>
        <w:tc>
          <w:tcPr>
            <w:tcW w:type="dxa" w:w="864"/>
            <w:shd w:val="clear" w:color="auto" w:fill="F3F4FF"/>
            <w:vAlign w:val="center"/>
          </w:tcPr>
          <w:p>
            <w:pPr>
              <w:jc w:val="center"/>
            </w:pPr>
            <w:r>
              <w:rPr>
                <w:rFonts w:ascii="Times New Roman" w:hAnsi="Times New Roman"/>
                <w:b/>
                <w:i w:val="0"/>
                <w:sz w:val="20"/>
              </w:rPr>
              <w:t>0.76</w:t>
            </w:r>
          </w:p>
        </w:tc>
        <w:tc>
          <w:tcPr>
            <w:tcW w:type="dxa" w:w="936"/>
            <w:shd w:val="clear" w:color="auto" w:fill="F3F4FF"/>
            <w:vAlign w:val="center"/>
          </w:tcPr>
          <w:p>
            <w:pPr>
              <w:jc w:val="center"/>
            </w:pPr>
            <w:r>
              <w:rPr>
                <w:rFonts w:ascii="Times New Roman" w:hAnsi="Times New Roman"/>
                <w:b/>
                <w:i w:val="0"/>
                <w:sz w:val="20"/>
              </w:rPr>
              <w:t>0.80</w:t>
            </w:r>
          </w:p>
        </w:tc>
        <w:tc>
          <w:tcPr>
            <w:tcW w:type="dxa" w:w="1123"/>
            <w:shd w:val="clear" w:color="auto" w:fill="F3F4FF"/>
            <w:vAlign w:val="center"/>
          </w:tcPr>
          <w:p>
            <w:pPr>
              <w:jc w:val="center"/>
            </w:pPr>
            <w:r>
              <w:rPr>
                <w:rFonts w:ascii="Times New Roman" w:hAnsi="Times New Roman"/>
                <w:b/>
                <w:i w:val="0"/>
                <w:sz w:val="20"/>
              </w:rPr>
              <w:t>0.72</w:t>
            </w:r>
          </w:p>
        </w:tc>
        <w:tc>
          <w:tcPr>
            <w:tcW w:type="dxa" w:w="864"/>
            <w:shd w:val="clear" w:color="auto" w:fill="F3F4FF"/>
            <w:vAlign w:val="center"/>
          </w:tcPr>
          <w:p>
            <w:pPr>
              <w:jc w:val="center"/>
            </w:pPr>
            <w:r>
              <w:rPr>
                <w:rFonts w:ascii="Times New Roman" w:hAnsi="Times New Roman"/>
                <w:b/>
                <w:i w:val="0"/>
                <w:sz w:val="20"/>
              </w:rPr>
              <w:t>13.1%</w:t>
            </w:r>
          </w:p>
        </w:tc>
        <w:tc>
          <w:tcPr>
            <w:tcW w:type="dxa" w:w="864"/>
            <w:shd w:val="clear" w:color="auto" w:fill="F3F4FF"/>
            <w:vAlign w:val="center"/>
          </w:tcPr>
          <w:p>
            <w:pPr>
              <w:jc w:val="center"/>
            </w:pPr>
            <w:r>
              <w:rPr>
                <w:rFonts w:ascii="Times New Roman" w:hAnsi="Times New Roman"/>
                <w:b/>
                <w:i w:val="0"/>
                <w:sz w:val="20"/>
              </w:rPr>
              <w:t>27.9%</w:t>
            </w:r>
          </w:p>
        </w:tc>
      </w:tr>
      <w:tr>
        <w:tc>
          <w:tcPr>
            <w:tcW w:type="dxa" w:w="1368"/>
            <w:vAlign w:val="center"/>
          </w:tcPr>
          <w:p>
            <w:pPr>
              <w:jc w:val="center"/>
            </w:pPr>
            <w:r>
              <w:rPr>
                <w:rFonts w:ascii="Times New Roman" w:hAnsi="Times New Roman"/>
                <w:b w:val="0"/>
                <w:i w:val="0"/>
                <w:sz w:val="20"/>
              </w:rPr>
              <w:t>LLaMA-7B</w:t>
            </w:r>
          </w:p>
        </w:tc>
        <w:tc>
          <w:tcPr>
            <w:tcW w:type="dxa" w:w="1656"/>
            <w:vAlign w:val="center"/>
          </w:tcPr>
          <w:p>
            <w:pPr>
              <w:jc w:val="center"/>
            </w:pPr>
            <w:r>
              <w:rPr>
                <w:rFonts w:ascii="Times New Roman" w:hAnsi="Times New Roman"/>
                <w:b w:val="0"/>
                <w:i w:val="0"/>
                <w:sz w:val="20"/>
              </w:rPr>
              <w:t>Vectara HFB</w:t>
            </w:r>
          </w:p>
        </w:tc>
        <w:tc>
          <w:tcPr>
            <w:tcW w:type="dxa" w:w="1872"/>
            <w:vAlign w:val="center"/>
          </w:tcPr>
          <w:p>
            <w:pPr>
              <w:jc w:val="center"/>
            </w:pPr>
            <w:r>
              <w:rPr>
                <w:rFonts w:ascii="Times New Roman" w:hAnsi="Times New Roman"/>
                <w:b w:val="0"/>
                <w:i w:val="0"/>
                <w:sz w:val="20"/>
              </w:rPr>
              <w:t>Fact-check</w:t>
            </w:r>
          </w:p>
        </w:tc>
        <w:tc>
          <w:tcPr>
            <w:tcW w:type="dxa" w:w="1123"/>
            <w:vAlign w:val="center"/>
          </w:tcPr>
          <w:p>
            <w:pPr>
              <w:jc w:val="center"/>
            </w:pPr>
            <w:r>
              <w:rPr>
                <w:rFonts w:ascii="Times New Roman" w:hAnsi="Times New Roman"/>
                <w:b w:val="0"/>
                <w:i w:val="0"/>
                <w:sz w:val="20"/>
              </w:rPr>
              <w:t>0.76</w:t>
            </w:r>
          </w:p>
        </w:tc>
        <w:tc>
          <w:tcPr>
            <w:tcW w:type="dxa" w:w="864"/>
            <w:vAlign w:val="center"/>
          </w:tcPr>
          <w:p>
            <w:pPr>
              <w:jc w:val="center"/>
            </w:pPr>
            <w:r>
              <w:rPr>
                <w:rFonts w:ascii="Times New Roman" w:hAnsi="Times New Roman"/>
                <w:b w:val="0"/>
                <w:i w:val="0"/>
                <w:sz w:val="20"/>
              </w:rPr>
              <w:t>0.73</w:t>
            </w:r>
          </w:p>
        </w:tc>
        <w:tc>
          <w:tcPr>
            <w:tcW w:type="dxa" w:w="936"/>
            <w:vAlign w:val="center"/>
          </w:tcPr>
          <w:p>
            <w:pPr>
              <w:jc w:val="center"/>
            </w:pPr>
            <w:r>
              <w:rPr>
                <w:rFonts w:ascii="Times New Roman" w:hAnsi="Times New Roman"/>
                <w:b w:val="0"/>
                <w:i w:val="0"/>
                <w:sz w:val="20"/>
              </w:rPr>
              <w:t>0.78</w:t>
            </w:r>
          </w:p>
        </w:tc>
        <w:tc>
          <w:tcPr>
            <w:tcW w:type="dxa" w:w="1123"/>
            <w:vAlign w:val="center"/>
          </w:tcPr>
          <w:p>
            <w:pPr>
              <w:jc w:val="center"/>
            </w:pPr>
            <w:r>
              <w:rPr>
                <w:rFonts w:ascii="Times New Roman" w:hAnsi="Times New Roman"/>
                <w:b w:val="0"/>
                <w:i w:val="0"/>
                <w:sz w:val="20"/>
              </w:rPr>
              <w:t>0.69</w:t>
            </w:r>
          </w:p>
        </w:tc>
        <w:tc>
          <w:tcPr>
            <w:tcW w:type="dxa" w:w="864"/>
            <w:vAlign w:val="center"/>
          </w:tcPr>
          <w:p>
            <w:pPr>
              <w:jc w:val="center"/>
            </w:pPr>
            <w:r>
              <w:rPr>
                <w:rFonts w:ascii="Times New Roman" w:hAnsi="Times New Roman"/>
                <w:b w:val="0"/>
                <w:i w:val="0"/>
                <w:sz w:val="20"/>
              </w:rPr>
              <w:t>14.8%</w:t>
            </w:r>
          </w:p>
        </w:tc>
        <w:tc>
          <w:tcPr>
            <w:tcW w:type="dxa" w:w="864"/>
            <w:vAlign w:val="center"/>
          </w:tcPr>
          <w:p>
            <w:pPr>
              <w:jc w:val="center"/>
            </w:pPr>
            <w:r>
              <w:rPr>
                <w:rFonts w:ascii="Times New Roman" w:hAnsi="Times New Roman"/>
                <w:b w:val="0"/>
                <w:i w:val="0"/>
                <w:sz w:val="20"/>
              </w:rPr>
              <w:t>31.0%</w:t>
            </w:r>
          </w:p>
        </w:tc>
      </w:tr>
      <w:tr>
        <w:tc>
          <w:tcPr>
            <w:tcW w:type="dxa" w:w="1368"/>
            <w:shd w:val="clear" w:color="auto" w:fill="F3F4FF"/>
            <w:vAlign w:val="center"/>
          </w:tcPr>
          <w:p>
            <w:pPr>
              <w:jc w:val="center"/>
            </w:pPr>
            <w:r>
              <w:rPr>
                <w:rFonts w:ascii="Times New Roman" w:hAnsi="Times New Roman"/>
                <w:b w:val="0"/>
                <w:i w:val="0"/>
                <w:sz w:val="20"/>
              </w:rPr>
              <w:t>LLaMA-7B</w:t>
            </w:r>
          </w:p>
        </w:tc>
        <w:tc>
          <w:tcPr>
            <w:tcW w:type="dxa" w:w="1656"/>
            <w:shd w:val="clear" w:color="auto" w:fill="F3F4FF"/>
            <w:vAlign w:val="center"/>
          </w:tcPr>
          <w:p>
            <w:pPr>
              <w:jc w:val="center"/>
            </w:pPr>
            <w:r>
              <w:rPr>
                <w:rFonts w:ascii="Times New Roman" w:hAnsi="Times New Roman"/>
                <w:b w:val="0"/>
                <w:i w:val="0"/>
                <w:sz w:val="20"/>
              </w:rPr>
              <w:t>Vectara HFB</w:t>
            </w:r>
          </w:p>
        </w:tc>
        <w:tc>
          <w:tcPr>
            <w:tcW w:type="dxa" w:w="1872"/>
            <w:shd w:val="clear" w:color="auto" w:fill="F3F4FF"/>
            <w:vAlign w:val="center"/>
          </w:tcPr>
          <w:p>
            <w:pPr>
              <w:jc w:val="center"/>
            </w:pPr>
            <w:r>
              <w:rPr>
                <w:rFonts w:ascii="Times New Roman" w:hAnsi="Times New Roman"/>
                <w:b w:val="0"/>
                <w:i w:val="0"/>
                <w:sz w:val="20"/>
              </w:rPr>
              <w:t>SelfCheckGPT</w:t>
            </w:r>
          </w:p>
        </w:tc>
        <w:tc>
          <w:tcPr>
            <w:tcW w:type="dxa" w:w="1123"/>
            <w:shd w:val="clear" w:color="auto" w:fill="F3F4FF"/>
            <w:vAlign w:val="center"/>
          </w:tcPr>
          <w:p>
            <w:pPr>
              <w:jc w:val="center"/>
            </w:pPr>
            <w:r>
              <w:rPr>
                <w:rFonts w:ascii="Times New Roman" w:hAnsi="Times New Roman"/>
                <w:b w:val="0"/>
                <w:i w:val="0"/>
                <w:sz w:val="20"/>
              </w:rPr>
              <w:t>0.75</w:t>
            </w:r>
          </w:p>
        </w:tc>
        <w:tc>
          <w:tcPr>
            <w:tcW w:type="dxa" w:w="864"/>
            <w:shd w:val="clear" w:color="auto" w:fill="F3F4FF"/>
            <w:vAlign w:val="center"/>
          </w:tcPr>
          <w:p>
            <w:pPr>
              <w:jc w:val="center"/>
            </w:pPr>
            <w:r>
              <w:rPr>
                <w:rFonts w:ascii="Times New Roman" w:hAnsi="Times New Roman"/>
                <w:b w:val="0"/>
                <w:i w:val="0"/>
                <w:sz w:val="20"/>
              </w:rPr>
              <w:t>0.72</w:t>
            </w:r>
          </w:p>
        </w:tc>
        <w:tc>
          <w:tcPr>
            <w:tcW w:type="dxa" w:w="936"/>
            <w:shd w:val="clear" w:color="auto" w:fill="F3F4FF"/>
            <w:vAlign w:val="center"/>
          </w:tcPr>
          <w:p>
            <w:pPr>
              <w:jc w:val="center"/>
            </w:pPr>
            <w:r>
              <w:rPr>
                <w:rFonts w:ascii="Times New Roman" w:hAnsi="Times New Roman"/>
                <w:b w:val="0"/>
                <w:i w:val="0"/>
                <w:sz w:val="20"/>
              </w:rPr>
              <w:t>0.76</w:t>
            </w:r>
          </w:p>
        </w:tc>
        <w:tc>
          <w:tcPr>
            <w:tcW w:type="dxa" w:w="1123"/>
            <w:shd w:val="clear" w:color="auto" w:fill="F3F4FF"/>
            <w:vAlign w:val="center"/>
          </w:tcPr>
          <w:p>
            <w:pPr>
              <w:jc w:val="center"/>
            </w:pPr>
            <w:r>
              <w:rPr>
                <w:rFonts w:ascii="Times New Roman" w:hAnsi="Times New Roman"/>
                <w:b w:val="0"/>
                <w:i w:val="0"/>
                <w:sz w:val="20"/>
              </w:rPr>
              <w:t>0.68</w:t>
            </w:r>
          </w:p>
        </w:tc>
        <w:tc>
          <w:tcPr>
            <w:tcW w:type="dxa" w:w="864"/>
            <w:shd w:val="clear" w:color="auto" w:fill="F3F4FF"/>
            <w:vAlign w:val="center"/>
          </w:tcPr>
          <w:p>
            <w:pPr>
              <w:jc w:val="center"/>
            </w:pPr>
            <w:r>
              <w:rPr>
                <w:rFonts w:ascii="Times New Roman" w:hAnsi="Times New Roman"/>
                <w:b w:val="0"/>
                <w:i w:val="0"/>
                <w:sz w:val="20"/>
              </w:rPr>
              <w:t>16.3%</w:t>
            </w:r>
          </w:p>
        </w:tc>
        <w:tc>
          <w:tcPr>
            <w:tcW w:type="dxa" w:w="864"/>
            <w:shd w:val="clear" w:color="auto" w:fill="F3F4FF"/>
            <w:vAlign w:val="center"/>
          </w:tcPr>
          <w:p>
            <w:pPr>
              <w:jc w:val="center"/>
            </w:pPr>
            <w:r>
              <w:rPr>
                <w:rFonts w:ascii="Times New Roman" w:hAnsi="Times New Roman"/>
                <w:b w:val="0"/>
                <w:i w:val="0"/>
                <w:sz w:val="20"/>
              </w:rPr>
              <w:t>32.1%</w:t>
            </w:r>
          </w:p>
        </w:tc>
      </w:tr>
      <w:tr>
        <w:tc>
          <w:tcPr>
            <w:tcW w:type="dxa" w:w="1368"/>
            <w:vAlign w:val="center"/>
          </w:tcPr>
          <w:p>
            <w:pPr>
              <w:jc w:val="center"/>
            </w:pPr>
            <w:r>
              <w:rPr>
                <w:rFonts w:ascii="Times New Roman" w:hAnsi="Times New Roman"/>
                <w:b w:val="0"/>
                <w:i w:val="0"/>
                <w:sz w:val="20"/>
              </w:rPr>
              <w:t>LLaMA-7B</w:t>
            </w:r>
          </w:p>
        </w:tc>
        <w:tc>
          <w:tcPr>
            <w:tcW w:type="dxa" w:w="1656"/>
            <w:vAlign w:val="center"/>
          </w:tcPr>
          <w:p>
            <w:pPr>
              <w:jc w:val="center"/>
            </w:pPr>
            <w:r>
              <w:rPr>
                <w:rFonts w:ascii="Times New Roman" w:hAnsi="Times New Roman"/>
                <w:b w:val="0"/>
                <w:i w:val="0"/>
                <w:sz w:val="20"/>
              </w:rPr>
              <w:t>Vectara HFB</w:t>
            </w:r>
          </w:p>
        </w:tc>
        <w:tc>
          <w:tcPr>
            <w:tcW w:type="dxa" w:w="1872"/>
            <w:vAlign w:val="center"/>
          </w:tcPr>
          <w:p>
            <w:pPr>
              <w:jc w:val="center"/>
            </w:pPr>
            <w:r>
              <w:rPr>
                <w:rFonts w:ascii="Times New Roman" w:hAnsi="Times New Roman"/>
                <w:b/>
                <w:i w:val="0"/>
                <w:sz w:val="20"/>
              </w:rPr>
              <w:t>HGT (ours)</w:t>
            </w:r>
          </w:p>
        </w:tc>
        <w:tc>
          <w:tcPr>
            <w:tcW w:type="dxa" w:w="1123"/>
            <w:vAlign w:val="center"/>
          </w:tcPr>
          <w:p>
            <w:pPr>
              <w:jc w:val="center"/>
            </w:pPr>
            <w:r>
              <w:rPr>
                <w:rFonts w:ascii="Times New Roman" w:hAnsi="Times New Roman"/>
                <w:b/>
                <w:i w:val="0"/>
                <w:sz w:val="20"/>
              </w:rPr>
              <w:t>0.83</w:t>
            </w:r>
          </w:p>
        </w:tc>
        <w:tc>
          <w:tcPr>
            <w:tcW w:type="dxa" w:w="864"/>
            <w:vAlign w:val="center"/>
          </w:tcPr>
          <w:p>
            <w:pPr>
              <w:jc w:val="center"/>
            </w:pPr>
            <w:r>
              <w:rPr>
                <w:rFonts w:ascii="Times New Roman" w:hAnsi="Times New Roman"/>
                <w:b/>
                <w:i w:val="0"/>
                <w:sz w:val="20"/>
              </w:rPr>
              <w:t>0.80</w:t>
            </w:r>
          </w:p>
        </w:tc>
        <w:tc>
          <w:tcPr>
            <w:tcW w:type="dxa" w:w="936"/>
            <w:vAlign w:val="center"/>
          </w:tcPr>
          <w:p>
            <w:pPr>
              <w:jc w:val="center"/>
            </w:pPr>
            <w:r>
              <w:rPr>
                <w:rFonts w:ascii="Times New Roman" w:hAnsi="Times New Roman"/>
                <w:b/>
                <w:i w:val="0"/>
                <w:sz w:val="20"/>
              </w:rPr>
              <w:t>0.85</w:t>
            </w:r>
          </w:p>
        </w:tc>
        <w:tc>
          <w:tcPr>
            <w:tcW w:type="dxa" w:w="1123"/>
            <w:vAlign w:val="center"/>
          </w:tcPr>
          <w:p>
            <w:pPr>
              <w:jc w:val="center"/>
            </w:pPr>
            <w:r>
              <w:rPr>
                <w:rFonts w:ascii="Times New Roman" w:hAnsi="Times New Roman"/>
                <w:b/>
                <w:i w:val="0"/>
                <w:sz w:val="20"/>
              </w:rPr>
              <w:t>0.76</w:t>
            </w:r>
          </w:p>
        </w:tc>
        <w:tc>
          <w:tcPr>
            <w:tcW w:type="dxa" w:w="864"/>
            <w:vAlign w:val="center"/>
          </w:tcPr>
          <w:p>
            <w:pPr>
              <w:jc w:val="center"/>
            </w:pPr>
            <w:r>
              <w:rPr>
                <w:rFonts w:ascii="Times New Roman" w:hAnsi="Times New Roman"/>
                <w:b/>
                <w:i w:val="0"/>
                <w:sz w:val="20"/>
              </w:rPr>
              <w:t>10.4%</w:t>
            </w:r>
          </w:p>
        </w:tc>
        <w:tc>
          <w:tcPr>
            <w:tcW w:type="dxa" w:w="864"/>
            <w:vAlign w:val="center"/>
          </w:tcPr>
          <w:p>
            <w:pPr>
              <w:jc w:val="center"/>
            </w:pPr>
            <w:r>
              <w:rPr>
                <w:rFonts w:ascii="Times New Roman" w:hAnsi="Times New Roman"/>
                <w:b/>
                <w:i w:val="0"/>
                <w:sz w:val="20"/>
              </w:rPr>
              <w:t>24.3%</w:t>
            </w:r>
          </w:p>
        </w:tc>
      </w:tr>
    </w:tbl>
    <w:p>
      <w:pPr>
        <w:spacing w:after="160"/>
      </w:pPr>
    </w:p>
    <w:p>
      <w:pPr>
        <w:spacing w:before="0" w:after="140"/>
        <w:ind w:firstLine="432"/>
        <w:jc w:val="both"/>
      </w:pPr>
      <w:r>
        <w:rPr>
          <w:rFonts w:ascii="Times New Roman" w:hAnsi="Times New Roman"/>
          <w:b w:val="0"/>
          <w:i w:val="0"/>
          <w:sz w:val="22"/>
        </w:rPr>
        <w:t>HGT outperforms SelfCheckGPT by +9.2% AUROC on LLaMA-7B and +6.8% on GPT-2. The improvement is consistent across both false-positive rate (10.4% vs. 16.3%) and false-negative rate (24.3% vs. 32.1%). Critically, SelfCheckGPT requires N=20 forward passes per query; HGT requires exactly 1+1 passes — approximately 10× more efficient. On a 1,000-query evaluation set, HGT reduces total inference time from 47 minutes to 4.8 minutes on a single A100 GPU.</w:t>
      </w:r>
    </w:p>
    <w:p>
      <w:pPr>
        <w:spacing w:before="200" w:after="60"/>
      </w:pPr>
      <w:r>
        <w:rPr>
          <w:rFonts w:ascii="Times New Roman" w:hAnsi="Times New Roman"/>
          <w:b/>
          <w:i w:val="0"/>
          <w:color w:val="283593"/>
          <w:sz w:val="22"/>
        </w:rPr>
        <w:t>5.3  CMN: Hypothesis Mining</w:t>
      </w:r>
    </w:p>
    <w:p>
      <w:pPr>
        <w:spacing w:before="160" w:after="80"/>
        <w:jc w:val="center"/>
      </w:pPr>
      <w:r>
        <w:rPr>
          <w:rFonts w:ascii="Times New Roman" w:hAnsi="Times New Roman"/>
          <w:b/>
          <w:i w:val="0"/>
          <w:sz w:val="20"/>
        </w:rPr>
        <w:t>Table 5. CMN hypothesis mining results — drug discovery domain (N=200 expert-rated).</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2880"/>
            <w:shd w:val="clear" w:color="auto" w:fill="1A237E"/>
            <w:vAlign w:val="center"/>
          </w:tcPr>
          <w:p>
            <w:pPr>
              <w:jc w:val="center"/>
            </w:pPr>
            <w:r>
              <w:rPr>
                <w:rFonts w:ascii="Times New Roman" w:hAnsi="Times New Roman"/>
                <w:b/>
                <w:i w:val="0"/>
                <w:color w:val="FFFFFF"/>
                <w:sz w:val="20"/>
              </w:rPr>
              <w:t>Method</w:t>
            </w:r>
          </w:p>
        </w:tc>
        <w:tc>
          <w:tcPr>
            <w:tcW w:type="dxa" w:w="1728"/>
            <w:shd w:val="clear" w:color="auto" w:fill="1A237E"/>
            <w:vAlign w:val="center"/>
          </w:tcPr>
          <w:p>
            <w:pPr>
              <w:jc w:val="center"/>
            </w:pPr>
            <w:r>
              <w:rPr>
                <w:rFonts w:ascii="Times New Roman" w:hAnsi="Times New Roman"/>
                <w:b/>
                <w:i w:val="0"/>
                <w:color w:val="FFFFFF"/>
                <w:sz w:val="20"/>
              </w:rPr>
              <w:t>Hyp. Generated</w:t>
            </w:r>
          </w:p>
        </w:tc>
        <w:tc>
          <w:tcPr>
            <w:tcW w:type="dxa" w:w="1656"/>
            <w:shd w:val="clear" w:color="auto" w:fill="1A237E"/>
            <w:vAlign w:val="center"/>
          </w:tcPr>
          <w:p>
            <w:pPr>
              <w:jc w:val="center"/>
            </w:pPr>
            <w:r>
              <w:rPr>
                <w:rFonts w:ascii="Times New Roman" w:hAnsi="Times New Roman"/>
                <w:b/>
                <w:i w:val="0"/>
                <w:color w:val="FFFFFF"/>
                <w:sz w:val="20"/>
              </w:rPr>
              <w:t>In-Literature</w:t>
            </w:r>
          </w:p>
        </w:tc>
        <w:tc>
          <w:tcPr>
            <w:tcW w:type="dxa" w:w="1224"/>
            <w:shd w:val="clear" w:color="auto" w:fill="1A237E"/>
            <w:vAlign w:val="center"/>
          </w:tcPr>
          <w:p>
            <w:pPr>
              <w:jc w:val="center"/>
            </w:pPr>
            <w:r>
              <w:rPr>
                <w:rFonts w:ascii="Times New Roman" w:hAnsi="Times New Roman"/>
                <w:b/>
                <w:i w:val="0"/>
                <w:color w:val="FFFFFF"/>
                <w:sz w:val="20"/>
              </w:rPr>
              <w:t>Novel@5 ↑</w:t>
            </w:r>
          </w:p>
        </w:tc>
        <w:tc>
          <w:tcPr>
            <w:tcW w:type="dxa" w:w="1656"/>
            <w:shd w:val="clear" w:color="auto" w:fill="1A237E"/>
            <w:vAlign w:val="center"/>
          </w:tcPr>
          <w:p>
            <w:pPr>
              <w:jc w:val="center"/>
            </w:pPr>
            <w:r>
              <w:rPr>
                <w:rFonts w:ascii="Times New Roman" w:hAnsi="Times New Roman"/>
                <w:b/>
                <w:i w:val="0"/>
                <w:color w:val="FFFFFF"/>
                <w:sz w:val="20"/>
              </w:rPr>
              <w:t>Expert Plaus. ↑</w:t>
            </w:r>
          </w:p>
        </w:tc>
        <w:tc>
          <w:tcPr>
            <w:tcW w:type="dxa" w:w="1728"/>
            <w:shd w:val="clear" w:color="auto" w:fill="1A237E"/>
            <w:vAlign w:val="center"/>
          </w:tcPr>
          <w:p>
            <w:pPr>
              <w:jc w:val="center"/>
            </w:pPr>
            <w:r>
              <w:rPr>
                <w:rFonts w:ascii="Times New Roman" w:hAnsi="Times New Roman"/>
                <w:b/>
                <w:i w:val="0"/>
                <w:color w:val="FFFFFF"/>
                <w:sz w:val="20"/>
              </w:rPr>
              <w:t>Expert Accept. ↑</w:t>
            </w:r>
          </w:p>
        </w:tc>
      </w:tr>
      <w:tr>
        <w:tc>
          <w:tcPr>
            <w:tcW w:type="dxa" w:w="2880"/>
            <w:shd w:val="clear" w:color="auto" w:fill="F3F4FF"/>
            <w:vAlign w:val="center"/>
          </w:tcPr>
          <w:p>
            <w:pPr>
              <w:jc w:val="center"/>
            </w:pPr>
            <w:r>
              <w:rPr>
                <w:rFonts w:ascii="Times New Roman" w:hAnsi="Times New Roman"/>
                <w:b w:val="0"/>
                <w:i w:val="0"/>
                <w:sz w:val="20"/>
              </w:rPr>
              <w:t>Filtered LLM</w:t>
            </w:r>
          </w:p>
        </w:tc>
        <w:tc>
          <w:tcPr>
            <w:tcW w:type="dxa" w:w="1728"/>
            <w:shd w:val="clear" w:color="auto" w:fill="F3F4FF"/>
            <w:vAlign w:val="center"/>
          </w:tcPr>
          <w:p>
            <w:pPr>
              <w:jc w:val="center"/>
            </w:pPr>
            <w:r>
              <w:rPr>
                <w:rFonts w:ascii="Times New Roman" w:hAnsi="Times New Roman"/>
                <w:b w:val="0"/>
                <w:i w:val="0"/>
                <w:sz w:val="20"/>
              </w:rPr>
              <w:t>200</w:t>
            </w:r>
          </w:p>
        </w:tc>
        <w:tc>
          <w:tcPr>
            <w:tcW w:type="dxa" w:w="1656"/>
            <w:shd w:val="clear" w:color="auto" w:fill="F3F4FF"/>
            <w:vAlign w:val="center"/>
          </w:tcPr>
          <w:p>
            <w:pPr>
              <w:jc w:val="center"/>
            </w:pPr>
            <w:r>
              <w:rPr>
                <w:rFonts w:ascii="Times New Roman" w:hAnsi="Times New Roman"/>
                <w:b w:val="0"/>
                <w:i w:val="0"/>
                <w:sz w:val="20"/>
              </w:rPr>
              <w:t>100%</w:t>
            </w:r>
          </w:p>
        </w:tc>
        <w:tc>
          <w:tcPr>
            <w:tcW w:type="dxa" w:w="1224"/>
            <w:shd w:val="clear" w:color="auto" w:fill="F3F4FF"/>
            <w:vAlign w:val="center"/>
          </w:tcPr>
          <w:p>
            <w:pPr>
              <w:jc w:val="center"/>
            </w:pPr>
            <w:r>
              <w:rPr>
                <w:rFonts w:ascii="Times New Roman" w:hAnsi="Times New Roman"/>
                <w:b w:val="0"/>
                <w:i w:val="0"/>
                <w:sz w:val="20"/>
              </w:rPr>
              <w:t>0.08</w:t>
            </w:r>
          </w:p>
        </w:tc>
        <w:tc>
          <w:tcPr>
            <w:tcW w:type="dxa" w:w="1656"/>
            <w:shd w:val="clear" w:color="auto" w:fill="F3F4FF"/>
            <w:vAlign w:val="center"/>
          </w:tcPr>
          <w:p>
            <w:pPr>
              <w:jc w:val="center"/>
            </w:pPr>
            <w:r>
              <w:rPr>
                <w:rFonts w:ascii="Times New Roman" w:hAnsi="Times New Roman"/>
                <w:b w:val="0"/>
                <w:i w:val="0"/>
                <w:sz w:val="20"/>
              </w:rPr>
              <w:t>89%</w:t>
            </w:r>
          </w:p>
        </w:tc>
        <w:tc>
          <w:tcPr>
            <w:tcW w:type="dxa" w:w="1728"/>
            <w:shd w:val="clear" w:color="auto" w:fill="F3F4FF"/>
            <w:vAlign w:val="center"/>
          </w:tcPr>
          <w:p>
            <w:pPr>
              <w:jc w:val="center"/>
            </w:pPr>
            <w:r>
              <w:rPr>
                <w:rFonts w:ascii="Times New Roman" w:hAnsi="Times New Roman"/>
                <w:b w:val="0"/>
                <w:i w:val="0"/>
                <w:sz w:val="20"/>
              </w:rPr>
              <w:t>89%</w:t>
            </w:r>
          </w:p>
        </w:tc>
      </w:tr>
      <w:tr>
        <w:tc>
          <w:tcPr>
            <w:tcW w:type="dxa" w:w="2880"/>
            <w:vAlign w:val="center"/>
          </w:tcPr>
          <w:p>
            <w:pPr>
              <w:jc w:val="center"/>
            </w:pPr>
            <w:r>
              <w:rPr>
                <w:rFonts w:ascii="Times New Roman" w:hAnsi="Times New Roman"/>
                <w:b w:val="0"/>
                <w:i w:val="0"/>
                <w:sz w:val="20"/>
              </w:rPr>
              <w:t>RAG-augmented</w:t>
            </w:r>
          </w:p>
        </w:tc>
        <w:tc>
          <w:tcPr>
            <w:tcW w:type="dxa" w:w="1728"/>
            <w:vAlign w:val="center"/>
          </w:tcPr>
          <w:p>
            <w:pPr>
              <w:jc w:val="center"/>
            </w:pPr>
            <w:r>
              <w:rPr>
                <w:rFonts w:ascii="Times New Roman" w:hAnsi="Times New Roman"/>
                <w:b w:val="0"/>
                <w:i w:val="0"/>
                <w:sz w:val="20"/>
              </w:rPr>
              <w:t>312</w:t>
            </w:r>
          </w:p>
        </w:tc>
        <w:tc>
          <w:tcPr>
            <w:tcW w:type="dxa" w:w="1656"/>
            <w:vAlign w:val="center"/>
          </w:tcPr>
          <w:p>
            <w:pPr>
              <w:jc w:val="center"/>
            </w:pPr>
            <w:r>
              <w:rPr>
                <w:rFonts w:ascii="Times New Roman" w:hAnsi="Times New Roman"/>
                <w:b w:val="0"/>
                <w:i w:val="0"/>
                <w:sz w:val="20"/>
              </w:rPr>
              <w:t>94%</w:t>
            </w:r>
          </w:p>
        </w:tc>
        <w:tc>
          <w:tcPr>
            <w:tcW w:type="dxa" w:w="1224"/>
            <w:vAlign w:val="center"/>
          </w:tcPr>
          <w:p>
            <w:pPr>
              <w:jc w:val="center"/>
            </w:pPr>
            <w:r>
              <w:rPr>
                <w:rFonts w:ascii="Times New Roman" w:hAnsi="Times New Roman"/>
                <w:b w:val="0"/>
                <w:i w:val="0"/>
                <w:sz w:val="20"/>
              </w:rPr>
              <w:t>0.13</w:t>
            </w:r>
          </w:p>
        </w:tc>
        <w:tc>
          <w:tcPr>
            <w:tcW w:type="dxa" w:w="1656"/>
            <w:vAlign w:val="center"/>
          </w:tcPr>
          <w:p>
            <w:pPr>
              <w:jc w:val="center"/>
            </w:pPr>
            <w:r>
              <w:rPr>
                <w:rFonts w:ascii="Times New Roman" w:hAnsi="Times New Roman"/>
                <w:b w:val="0"/>
                <w:i w:val="0"/>
                <w:sz w:val="20"/>
              </w:rPr>
              <w:t>83%</w:t>
            </w:r>
          </w:p>
        </w:tc>
        <w:tc>
          <w:tcPr>
            <w:tcW w:type="dxa" w:w="1728"/>
            <w:vAlign w:val="center"/>
          </w:tcPr>
          <w:p>
            <w:pPr>
              <w:jc w:val="center"/>
            </w:pPr>
            <w:r>
              <w:rPr>
                <w:rFonts w:ascii="Times New Roman" w:hAnsi="Times New Roman"/>
                <w:b w:val="0"/>
                <w:i w:val="0"/>
                <w:sz w:val="20"/>
              </w:rPr>
              <w:t>78%</w:t>
            </w:r>
          </w:p>
        </w:tc>
      </w:tr>
      <w:tr>
        <w:tc>
          <w:tcPr>
            <w:tcW w:type="dxa" w:w="2880"/>
            <w:shd w:val="clear" w:color="auto" w:fill="F3F4FF"/>
            <w:vAlign w:val="center"/>
          </w:tcPr>
          <w:p>
            <w:pPr>
              <w:jc w:val="center"/>
            </w:pPr>
            <w:r>
              <w:rPr>
                <w:rFonts w:ascii="Times New Roman" w:hAnsi="Times New Roman"/>
                <w:b w:val="0"/>
                <w:i w:val="0"/>
                <w:sz w:val="20"/>
              </w:rPr>
              <w:t>CMN threshold 0.6/0.65</w:t>
            </w:r>
          </w:p>
        </w:tc>
        <w:tc>
          <w:tcPr>
            <w:tcW w:type="dxa" w:w="1728"/>
            <w:shd w:val="clear" w:color="auto" w:fill="F3F4FF"/>
            <w:vAlign w:val="center"/>
          </w:tcPr>
          <w:p>
            <w:pPr>
              <w:jc w:val="center"/>
            </w:pPr>
            <w:r>
              <w:rPr>
                <w:rFonts w:ascii="Times New Roman" w:hAnsi="Times New Roman"/>
                <w:b w:val="0"/>
                <w:i w:val="0"/>
                <w:sz w:val="20"/>
              </w:rPr>
              <w:t>112</w:t>
            </w:r>
          </w:p>
        </w:tc>
        <w:tc>
          <w:tcPr>
            <w:tcW w:type="dxa" w:w="1656"/>
            <w:shd w:val="clear" w:color="auto" w:fill="F3F4FF"/>
            <w:vAlign w:val="center"/>
          </w:tcPr>
          <w:p>
            <w:pPr>
              <w:jc w:val="center"/>
            </w:pPr>
            <w:r>
              <w:rPr>
                <w:rFonts w:ascii="Times New Roman" w:hAnsi="Times New Roman"/>
                <w:b w:val="0"/>
                <w:i w:val="0"/>
                <w:sz w:val="20"/>
              </w:rPr>
              <w:t>21%</w:t>
            </w:r>
          </w:p>
        </w:tc>
        <w:tc>
          <w:tcPr>
            <w:tcW w:type="dxa" w:w="1224"/>
            <w:shd w:val="clear" w:color="auto" w:fill="F3F4FF"/>
            <w:vAlign w:val="center"/>
          </w:tcPr>
          <w:p>
            <w:pPr>
              <w:jc w:val="center"/>
            </w:pPr>
            <w:r>
              <w:rPr>
                <w:rFonts w:ascii="Times New Roman" w:hAnsi="Times New Roman"/>
                <w:b w:val="0"/>
                <w:i w:val="0"/>
                <w:sz w:val="20"/>
              </w:rPr>
              <w:t>0.81</w:t>
            </w:r>
          </w:p>
        </w:tc>
        <w:tc>
          <w:tcPr>
            <w:tcW w:type="dxa" w:w="1656"/>
            <w:shd w:val="clear" w:color="auto" w:fill="F3F4FF"/>
            <w:vAlign w:val="center"/>
          </w:tcPr>
          <w:p>
            <w:pPr>
              <w:jc w:val="center"/>
            </w:pPr>
            <w:r>
              <w:rPr>
                <w:rFonts w:ascii="Times New Roman" w:hAnsi="Times New Roman"/>
                <w:b w:val="0"/>
                <w:i w:val="0"/>
                <w:sz w:val="20"/>
              </w:rPr>
              <w:t>86%</w:t>
            </w:r>
          </w:p>
        </w:tc>
        <w:tc>
          <w:tcPr>
            <w:tcW w:type="dxa" w:w="1728"/>
            <w:shd w:val="clear" w:color="auto" w:fill="F3F4FF"/>
            <w:vAlign w:val="center"/>
          </w:tcPr>
          <w:p>
            <w:pPr>
              <w:jc w:val="center"/>
            </w:pPr>
            <w:r>
              <w:rPr>
                <w:rFonts w:ascii="Times New Roman" w:hAnsi="Times New Roman"/>
                <w:b w:val="0"/>
                <w:i w:val="0"/>
                <w:sz w:val="20"/>
              </w:rPr>
              <w:t>86%</w:t>
            </w:r>
          </w:p>
        </w:tc>
      </w:tr>
      <w:tr>
        <w:tc>
          <w:tcPr>
            <w:tcW w:type="dxa" w:w="2880"/>
            <w:vAlign w:val="center"/>
          </w:tcPr>
          <w:p>
            <w:pPr>
              <w:jc w:val="center"/>
            </w:pPr>
            <w:r>
              <w:rPr>
                <w:rFonts w:ascii="Times New Roman" w:hAnsi="Times New Roman"/>
                <w:b w:val="0"/>
                <w:i w:val="0"/>
                <w:sz w:val="20"/>
              </w:rPr>
              <w:t>CMN threshold 0.3/0.4</w:t>
            </w:r>
          </w:p>
        </w:tc>
        <w:tc>
          <w:tcPr>
            <w:tcW w:type="dxa" w:w="1728"/>
            <w:vAlign w:val="center"/>
          </w:tcPr>
          <w:p>
            <w:pPr>
              <w:jc w:val="center"/>
            </w:pPr>
            <w:r>
              <w:rPr>
                <w:rFonts w:ascii="Times New Roman" w:hAnsi="Times New Roman"/>
                <w:b w:val="0"/>
                <w:i w:val="0"/>
                <w:sz w:val="20"/>
              </w:rPr>
              <w:t>1847</w:t>
            </w:r>
          </w:p>
        </w:tc>
        <w:tc>
          <w:tcPr>
            <w:tcW w:type="dxa" w:w="1656"/>
            <w:vAlign w:val="center"/>
          </w:tcPr>
          <w:p>
            <w:pPr>
              <w:jc w:val="center"/>
            </w:pPr>
            <w:r>
              <w:rPr>
                <w:rFonts w:ascii="Times New Roman" w:hAnsi="Times New Roman"/>
                <w:b w:val="0"/>
                <w:i w:val="0"/>
                <w:sz w:val="20"/>
              </w:rPr>
              <w:t>52%</w:t>
            </w:r>
          </w:p>
        </w:tc>
        <w:tc>
          <w:tcPr>
            <w:tcW w:type="dxa" w:w="1224"/>
            <w:vAlign w:val="center"/>
          </w:tcPr>
          <w:p>
            <w:pPr>
              <w:jc w:val="center"/>
            </w:pPr>
            <w:r>
              <w:rPr>
                <w:rFonts w:ascii="Times New Roman" w:hAnsi="Times New Roman"/>
                <w:b w:val="0"/>
                <w:i w:val="0"/>
                <w:sz w:val="20"/>
              </w:rPr>
              <w:t>0.51</w:t>
            </w:r>
          </w:p>
        </w:tc>
        <w:tc>
          <w:tcPr>
            <w:tcW w:type="dxa" w:w="1656"/>
            <w:vAlign w:val="center"/>
          </w:tcPr>
          <w:p>
            <w:pPr>
              <w:jc w:val="center"/>
            </w:pPr>
            <w:r>
              <w:rPr>
                <w:rFonts w:ascii="Times New Roman" w:hAnsi="Times New Roman"/>
                <w:b w:val="0"/>
                <w:i w:val="0"/>
                <w:sz w:val="20"/>
              </w:rPr>
              <w:t>41%</w:t>
            </w:r>
          </w:p>
        </w:tc>
        <w:tc>
          <w:tcPr>
            <w:tcW w:type="dxa" w:w="1728"/>
            <w:vAlign w:val="center"/>
          </w:tcPr>
          <w:p>
            <w:pPr>
              <w:jc w:val="center"/>
            </w:pPr>
            <w:r>
              <w:rPr>
                <w:rFonts w:ascii="Times New Roman" w:hAnsi="Times New Roman"/>
                <w:b w:val="0"/>
                <w:i w:val="0"/>
                <w:sz w:val="20"/>
              </w:rPr>
              <w:t>41%</w:t>
            </w:r>
          </w:p>
        </w:tc>
      </w:tr>
      <w:tr>
        <w:tc>
          <w:tcPr>
            <w:tcW w:type="dxa" w:w="2880"/>
            <w:shd w:val="clear" w:color="auto" w:fill="F3F4FF"/>
            <w:vAlign w:val="center"/>
          </w:tcPr>
          <w:p>
            <w:pPr>
              <w:jc w:val="center"/>
            </w:pPr>
            <w:r>
              <w:rPr>
                <w:rFonts w:ascii="Times New Roman" w:hAnsi="Times New Roman"/>
                <w:b/>
                <w:i w:val="0"/>
                <w:sz w:val="20"/>
              </w:rPr>
              <w:t>CMN (ours) 0.45/0.50</w:t>
            </w:r>
          </w:p>
        </w:tc>
        <w:tc>
          <w:tcPr>
            <w:tcW w:type="dxa" w:w="1728"/>
            <w:shd w:val="clear" w:color="auto" w:fill="F3F4FF"/>
            <w:vAlign w:val="center"/>
          </w:tcPr>
          <w:p>
            <w:pPr>
              <w:jc w:val="center"/>
            </w:pPr>
            <w:r>
              <w:rPr>
                <w:rFonts w:ascii="Times New Roman" w:hAnsi="Times New Roman"/>
                <w:b/>
                <w:i w:val="0"/>
                <w:sz w:val="20"/>
              </w:rPr>
              <w:t>847</w:t>
            </w:r>
          </w:p>
        </w:tc>
        <w:tc>
          <w:tcPr>
            <w:tcW w:type="dxa" w:w="1656"/>
            <w:shd w:val="clear" w:color="auto" w:fill="F3F4FF"/>
            <w:vAlign w:val="center"/>
          </w:tcPr>
          <w:p>
            <w:pPr>
              <w:jc w:val="center"/>
            </w:pPr>
            <w:r>
              <w:rPr>
                <w:rFonts w:ascii="Times New Roman" w:hAnsi="Times New Roman"/>
                <w:b/>
                <w:i w:val="0"/>
                <w:sz w:val="20"/>
              </w:rPr>
              <w:t>31%</w:t>
            </w:r>
          </w:p>
        </w:tc>
        <w:tc>
          <w:tcPr>
            <w:tcW w:type="dxa" w:w="1224"/>
            <w:shd w:val="clear" w:color="auto" w:fill="F3F4FF"/>
            <w:vAlign w:val="center"/>
          </w:tcPr>
          <w:p>
            <w:pPr>
              <w:jc w:val="center"/>
            </w:pPr>
            <w:r>
              <w:rPr>
                <w:rFonts w:ascii="Times New Roman" w:hAnsi="Times New Roman"/>
                <w:b/>
                <w:i w:val="0"/>
                <w:sz w:val="20"/>
              </w:rPr>
              <w:t>0.67</w:t>
            </w:r>
          </w:p>
        </w:tc>
        <w:tc>
          <w:tcPr>
            <w:tcW w:type="dxa" w:w="1656"/>
            <w:shd w:val="clear" w:color="auto" w:fill="F3F4FF"/>
            <w:vAlign w:val="center"/>
          </w:tcPr>
          <w:p>
            <w:pPr>
              <w:jc w:val="center"/>
            </w:pPr>
            <w:r>
              <w:rPr>
                <w:rFonts w:ascii="Times New Roman" w:hAnsi="Times New Roman"/>
                <w:b/>
                <w:i w:val="0"/>
                <w:sz w:val="20"/>
              </w:rPr>
              <w:t>77%</w:t>
            </w:r>
          </w:p>
        </w:tc>
        <w:tc>
          <w:tcPr>
            <w:tcW w:type="dxa" w:w="1728"/>
            <w:shd w:val="clear" w:color="auto" w:fill="F3F4FF"/>
            <w:vAlign w:val="center"/>
          </w:tcPr>
          <w:p>
            <w:pPr>
              <w:jc w:val="center"/>
            </w:pPr>
            <w:r>
              <w:rPr>
                <w:rFonts w:ascii="Times New Roman" w:hAnsi="Times New Roman"/>
                <w:b/>
                <w:i w:val="0"/>
                <w:sz w:val="20"/>
              </w:rPr>
              <w:t>77%</w:t>
            </w:r>
          </w:p>
        </w:tc>
      </w:tr>
    </w:tbl>
    <w:p>
      <w:pPr>
        <w:spacing w:after="160"/>
      </w:pPr>
    </w:p>
    <w:p>
      <w:pPr>
        <w:spacing w:before="0" w:after="140"/>
        <w:ind w:firstLine="432"/>
        <w:jc w:val="both"/>
      </w:pPr>
      <w:r>
        <w:rPr>
          <w:rFonts w:ascii="Times New Roman" w:hAnsi="Times New Roman"/>
          <w:b w:val="0"/>
          <w:i w:val="0"/>
          <w:sz w:val="22"/>
        </w:rPr>
        <w:t>CMN at the optimal threshold (0.45/0.50) surfaces 847 hypotheses with Novelty@5 = 0.67 versus 0.08 under standard filtering (8.4× improvement). Expert plausibility is 77% — high for genuinely novel territory. The Pareto analysis (Table 5) shows that higher thresholds sacrifice hypothesis volume (112 at 0.6/0.65) while lower thresholds sacrifice plausibility (41% at 0.3/0.4). The optimal point maximizes the product of volume and plausibility, corresponding to 847 × 0.77 = 652 high-quality novel hypotheses per run.</w:t>
      </w:r>
    </w:p>
    <w:p>
      <w:pPr>
        <w:spacing w:before="200" w:after="60"/>
      </w:pPr>
      <w:r>
        <w:rPr>
          <w:rFonts w:ascii="Times New Roman" w:hAnsi="Times New Roman"/>
          <w:b/>
          <w:i w:val="0"/>
          <w:color w:val="283593"/>
          <w:sz w:val="22"/>
        </w:rPr>
        <w:t>5.4  UC: Calibration</w:t>
      </w:r>
    </w:p>
    <w:p>
      <w:pPr>
        <w:spacing w:before="160" w:after="80"/>
        <w:jc w:val="center"/>
      </w:pPr>
      <w:r>
        <w:rPr>
          <w:rFonts w:ascii="Times New Roman" w:hAnsi="Times New Roman"/>
          <w:b/>
          <w:i w:val="0"/>
          <w:sz w:val="20"/>
        </w:rPr>
        <w:t>Table 6. UC calibration results. Coverage = empirical coverage of 90% conformal interval.</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440"/>
            <w:shd w:val="clear" w:color="auto" w:fill="1A237E"/>
            <w:vAlign w:val="center"/>
          </w:tcPr>
          <w:p>
            <w:pPr>
              <w:jc w:val="center"/>
            </w:pPr>
            <w:r>
              <w:rPr>
                <w:rFonts w:ascii="Times New Roman" w:hAnsi="Times New Roman"/>
                <w:b/>
                <w:i w:val="0"/>
                <w:color w:val="FFFFFF"/>
                <w:sz w:val="20"/>
              </w:rPr>
              <w:t>Model</w:t>
            </w:r>
          </w:p>
        </w:tc>
        <w:tc>
          <w:tcPr>
            <w:tcW w:type="dxa" w:w="2088"/>
            <w:shd w:val="clear" w:color="auto" w:fill="1A237E"/>
            <w:vAlign w:val="center"/>
          </w:tcPr>
          <w:p>
            <w:pPr>
              <w:jc w:val="center"/>
            </w:pPr>
            <w:r>
              <w:rPr>
                <w:rFonts w:ascii="Times New Roman" w:hAnsi="Times New Roman"/>
                <w:b/>
                <w:i w:val="0"/>
                <w:color w:val="FFFFFF"/>
                <w:sz w:val="20"/>
              </w:rPr>
              <w:t>Method</w:t>
            </w:r>
          </w:p>
        </w:tc>
        <w:tc>
          <w:tcPr>
            <w:tcW w:type="dxa" w:w="936"/>
            <w:shd w:val="clear" w:color="auto" w:fill="1A237E"/>
            <w:vAlign w:val="center"/>
          </w:tcPr>
          <w:p>
            <w:pPr>
              <w:jc w:val="center"/>
            </w:pPr>
            <w:r>
              <w:rPr>
                <w:rFonts w:ascii="Times New Roman" w:hAnsi="Times New Roman"/>
                <w:b/>
                <w:i w:val="0"/>
                <w:color w:val="FFFFFF"/>
                <w:sz w:val="20"/>
              </w:rPr>
              <w:t>ECE ↓</w:t>
            </w:r>
          </w:p>
        </w:tc>
        <w:tc>
          <w:tcPr>
            <w:tcW w:type="dxa" w:w="936"/>
            <w:shd w:val="clear" w:color="auto" w:fill="1A237E"/>
            <w:vAlign w:val="center"/>
          </w:tcPr>
          <w:p>
            <w:pPr>
              <w:jc w:val="center"/>
            </w:pPr>
            <w:r>
              <w:rPr>
                <w:rFonts w:ascii="Times New Roman" w:hAnsi="Times New Roman"/>
                <w:b/>
                <w:i w:val="0"/>
                <w:color w:val="FFFFFF"/>
                <w:sz w:val="20"/>
              </w:rPr>
              <w:t>MCE ↓</w:t>
            </w:r>
          </w:p>
        </w:tc>
        <w:tc>
          <w:tcPr>
            <w:tcW w:type="dxa" w:w="936"/>
            <w:shd w:val="clear" w:color="auto" w:fill="1A237E"/>
            <w:vAlign w:val="center"/>
          </w:tcPr>
          <w:p>
            <w:pPr>
              <w:jc w:val="center"/>
            </w:pPr>
            <w:r>
              <w:rPr>
                <w:rFonts w:ascii="Times New Roman" w:hAnsi="Times New Roman"/>
                <w:b/>
                <w:i w:val="0"/>
                <w:color w:val="FFFFFF"/>
                <w:sz w:val="20"/>
              </w:rPr>
              <w:t>Brier ↓</w:t>
            </w:r>
          </w:p>
        </w:tc>
        <w:tc>
          <w:tcPr>
            <w:tcW w:type="dxa" w:w="1368"/>
            <w:shd w:val="clear" w:color="auto" w:fill="1A237E"/>
            <w:vAlign w:val="center"/>
          </w:tcPr>
          <w:p>
            <w:pPr>
              <w:jc w:val="center"/>
            </w:pPr>
            <w:r>
              <w:rPr>
                <w:rFonts w:ascii="Times New Roman" w:hAnsi="Times New Roman"/>
                <w:b/>
                <w:i w:val="0"/>
                <w:color w:val="FFFFFF"/>
                <w:sz w:val="20"/>
              </w:rPr>
              <w:t>ECE Reduc.</w:t>
            </w:r>
          </w:p>
        </w:tc>
        <w:tc>
          <w:tcPr>
            <w:tcW w:type="dxa" w:w="1296"/>
            <w:shd w:val="clear" w:color="auto" w:fill="1A237E"/>
            <w:vAlign w:val="center"/>
          </w:tcPr>
          <w:p>
            <w:pPr>
              <w:jc w:val="center"/>
            </w:pPr>
            <w:r>
              <w:rPr>
                <w:rFonts w:ascii="Times New Roman" w:hAnsi="Times New Roman"/>
                <w:b/>
                <w:i w:val="0"/>
                <w:color w:val="FFFFFF"/>
                <w:sz w:val="20"/>
              </w:rPr>
              <w:t>Coverage</w:t>
            </w:r>
          </w:p>
        </w:tc>
      </w:tr>
      <w:tr>
        <w:tc>
          <w:tcPr>
            <w:tcW w:type="dxa" w:w="1440"/>
            <w:shd w:val="clear" w:color="auto" w:fill="F3F4FF"/>
            <w:vAlign w:val="center"/>
          </w:tcPr>
          <w:p>
            <w:pPr>
              <w:jc w:val="center"/>
            </w:pPr>
            <w:r>
              <w:rPr>
                <w:rFonts w:ascii="Times New Roman" w:hAnsi="Times New Roman"/>
                <w:b w:val="0"/>
                <w:i w:val="0"/>
                <w:sz w:val="20"/>
              </w:rPr>
              <w:t>GPT-2</w:t>
            </w:r>
          </w:p>
        </w:tc>
        <w:tc>
          <w:tcPr>
            <w:tcW w:type="dxa" w:w="2088"/>
            <w:shd w:val="clear" w:color="auto" w:fill="F3F4FF"/>
            <w:vAlign w:val="center"/>
          </w:tcPr>
          <w:p>
            <w:pPr>
              <w:jc w:val="center"/>
            </w:pPr>
            <w:r>
              <w:rPr>
                <w:rFonts w:ascii="Times New Roman" w:hAnsi="Times New Roman"/>
                <w:b w:val="0"/>
                <w:i w:val="0"/>
                <w:sz w:val="20"/>
              </w:rPr>
              <w:t>Uncalibrated</w:t>
            </w:r>
          </w:p>
        </w:tc>
        <w:tc>
          <w:tcPr>
            <w:tcW w:type="dxa" w:w="936"/>
            <w:shd w:val="clear" w:color="auto" w:fill="F3F4FF"/>
            <w:vAlign w:val="center"/>
          </w:tcPr>
          <w:p>
            <w:pPr>
              <w:jc w:val="center"/>
            </w:pPr>
            <w:r>
              <w:rPr>
                <w:rFonts w:ascii="Times New Roman" w:hAnsi="Times New Roman"/>
                <w:b w:val="0"/>
                <w:i w:val="0"/>
                <w:sz w:val="20"/>
              </w:rPr>
              <w:t>0.187</w:t>
            </w:r>
          </w:p>
        </w:tc>
        <w:tc>
          <w:tcPr>
            <w:tcW w:type="dxa" w:w="936"/>
            <w:shd w:val="clear" w:color="auto" w:fill="F3F4FF"/>
            <w:vAlign w:val="center"/>
          </w:tcPr>
          <w:p>
            <w:pPr>
              <w:jc w:val="center"/>
            </w:pPr>
            <w:r>
              <w:rPr>
                <w:rFonts w:ascii="Times New Roman" w:hAnsi="Times New Roman"/>
                <w:b w:val="0"/>
                <w:i w:val="0"/>
                <w:sz w:val="20"/>
              </w:rPr>
              <w:t>0.312</w:t>
            </w:r>
          </w:p>
        </w:tc>
        <w:tc>
          <w:tcPr>
            <w:tcW w:type="dxa" w:w="936"/>
            <w:shd w:val="clear" w:color="auto" w:fill="F3F4FF"/>
            <w:vAlign w:val="center"/>
          </w:tcPr>
          <w:p>
            <w:pPr>
              <w:jc w:val="center"/>
            </w:pPr>
            <w:r>
              <w:rPr>
                <w:rFonts w:ascii="Times New Roman" w:hAnsi="Times New Roman"/>
                <w:b w:val="0"/>
                <w:i w:val="0"/>
                <w:sz w:val="20"/>
              </w:rPr>
              <w:t>0.241</w:t>
            </w:r>
          </w:p>
        </w:tc>
        <w:tc>
          <w:tcPr>
            <w:tcW w:type="dxa" w:w="1368"/>
            <w:shd w:val="clear" w:color="auto" w:fill="F3F4FF"/>
            <w:vAlign w:val="center"/>
          </w:tcPr>
          <w:p>
            <w:pPr>
              <w:jc w:val="center"/>
            </w:pPr>
            <w:r>
              <w:rPr>
                <w:rFonts w:ascii="Times New Roman" w:hAnsi="Times New Roman"/>
                <w:b w:val="0"/>
                <w:i w:val="0"/>
                <w:sz w:val="20"/>
              </w:rPr>
              <w:t>baseline</w:t>
            </w:r>
          </w:p>
        </w:tc>
        <w:tc>
          <w:tcPr>
            <w:tcW w:type="dxa" w:w="1296"/>
            <w:shd w:val="clear" w:color="auto" w:fill="F3F4FF"/>
            <w:vAlign w:val="center"/>
          </w:tcPr>
          <w:p>
            <w:pPr>
              <w:jc w:val="center"/>
            </w:pPr>
            <w:r>
              <w:rPr>
                <w:rFonts w:ascii="Times New Roman" w:hAnsi="Times New Roman"/>
                <w:b w:val="0"/>
                <w:i w:val="0"/>
                <w:sz w:val="20"/>
              </w:rPr>
              <w:t>—</w:t>
            </w:r>
          </w:p>
        </w:tc>
      </w:tr>
      <w:tr>
        <w:tc>
          <w:tcPr>
            <w:tcW w:type="dxa" w:w="1440"/>
            <w:vAlign w:val="center"/>
          </w:tcPr>
          <w:p>
            <w:pPr>
              <w:jc w:val="center"/>
            </w:pPr>
            <w:r>
              <w:rPr>
                <w:rFonts w:ascii="Times New Roman" w:hAnsi="Times New Roman"/>
                <w:b w:val="0"/>
                <w:i w:val="0"/>
                <w:sz w:val="20"/>
              </w:rPr>
              <w:t>GPT-2</w:t>
            </w:r>
          </w:p>
        </w:tc>
        <w:tc>
          <w:tcPr>
            <w:tcW w:type="dxa" w:w="2088"/>
            <w:vAlign w:val="center"/>
          </w:tcPr>
          <w:p>
            <w:pPr>
              <w:jc w:val="center"/>
            </w:pPr>
            <w:r>
              <w:rPr>
                <w:rFonts w:ascii="Times New Roman" w:hAnsi="Times New Roman"/>
                <w:b w:val="0"/>
                <w:i w:val="0"/>
                <w:sz w:val="20"/>
              </w:rPr>
              <w:t>Platt scaling</w:t>
            </w:r>
          </w:p>
        </w:tc>
        <w:tc>
          <w:tcPr>
            <w:tcW w:type="dxa" w:w="936"/>
            <w:vAlign w:val="center"/>
          </w:tcPr>
          <w:p>
            <w:pPr>
              <w:jc w:val="center"/>
            </w:pPr>
            <w:r>
              <w:rPr>
                <w:rFonts w:ascii="Times New Roman" w:hAnsi="Times New Roman"/>
                <w:b w:val="0"/>
                <w:i w:val="0"/>
                <w:sz w:val="20"/>
              </w:rPr>
              <w:t>0.112</w:t>
            </w:r>
          </w:p>
        </w:tc>
        <w:tc>
          <w:tcPr>
            <w:tcW w:type="dxa" w:w="936"/>
            <w:vAlign w:val="center"/>
          </w:tcPr>
          <w:p>
            <w:pPr>
              <w:jc w:val="center"/>
            </w:pPr>
            <w:r>
              <w:rPr>
                <w:rFonts w:ascii="Times New Roman" w:hAnsi="Times New Roman"/>
                <w:b w:val="0"/>
                <w:i w:val="0"/>
                <w:sz w:val="20"/>
              </w:rPr>
              <w:t>0.243</w:t>
            </w:r>
          </w:p>
        </w:tc>
        <w:tc>
          <w:tcPr>
            <w:tcW w:type="dxa" w:w="936"/>
            <w:vAlign w:val="center"/>
          </w:tcPr>
          <w:p>
            <w:pPr>
              <w:jc w:val="center"/>
            </w:pPr>
            <w:r>
              <w:rPr>
                <w:rFonts w:ascii="Times New Roman" w:hAnsi="Times New Roman"/>
                <w:b w:val="0"/>
                <w:i w:val="0"/>
                <w:sz w:val="20"/>
              </w:rPr>
              <w:t>0.219</w:t>
            </w:r>
          </w:p>
        </w:tc>
        <w:tc>
          <w:tcPr>
            <w:tcW w:type="dxa" w:w="1368"/>
            <w:vAlign w:val="center"/>
          </w:tcPr>
          <w:p>
            <w:pPr>
              <w:jc w:val="center"/>
            </w:pPr>
            <w:r>
              <w:rPr>
                <w:rFonts w:ascii="Times New Roman" w:hAnsi="Times New Roman"/>
                <w:b w:val="0"/>
                <w:i w:val="0"/>
                <w:sz w:val="20"/>
              </w:rPr>
              <w:t>40.1%</w:t>
            </w:r>
          </w:p>
        </w:tc>
        <w:tc>
          <w:tcPr>
            <w:tcW w:type="dxa" w:w="1296"/>
            <w:vAlign w:val="center"/>
          </w:tcPr>
          <w:p>
            <w:pPr>
              <w:jc w:val="center"/>
            </w:pPr>
            <w:r>
              <w:rPr>
                <w:rFonts w:ascii="Times New Roman" w:hAnsi="Times New Roman"/>
                <w:b w:val="0"/>
                <w:i w:val="0"/>
                <w:sz w:val="20"/>
              </w:rPr>
              <w:t>—</w:t>
            </w:r>
          </w:p>
        </w:tc>
      </w:tr>
      <w:tr>
        <w:tc>
          <w:tcPr>
            <w:tcW w:type="dxa" w:w="1440"/>
            <w:shd w:val="clear" w:color="auto" w:fill="F3F4FF"/>
            <w:vAlign w:val="center"/>
          </w:tcPr>
          <w:p>
            <w:pPr>
              <w:jc w:val="center"/>
            </w:pPr>
            <w:r>
              <w:rPr>
                <w:rFonts w:ascii="Times New Roman" w:hAnsi="Times New Roman"/>
                <w:b w:val="0"/>
                <w:i w:val="0"/>
                <w:sz w:val="20"/>
              </w:rPr>
              <w:t>GPT-2</w:t>
            </w:r>
          </w:p>
        </w:tc>
        <w:tc>
          <w:tcPr>
            <w:tcW w:type="dxa" w:w="2088"/>
            <w:shd w:val="clear" w:color="auto" w:fill="F3F4FF"/>
            <w:vAlign w:val="center"/>
          </w:tcPr>
          <w:p>
            <w:pPr>
              <w:jc w:val="center"/>
            </w:pPr>
            <w:r>
              <w:rPr>
                <w:rFonts w:ascii="Times New Roman" w:hAnsi="Times New Roman"/>
                <w:b w:val="0"/>
                <w:i w:val="0"/>
                <w:sz w:val="20"/>
              </w:rPr>
              <w:t>Temperature scale</w:t>
            </w:r>
          </w:p>
        </w:tc>
        <w:tc>
          <w:tcPr>
            <w:tcW w:type="dxa" w:w="936"/>
            <w:shd w:val="clear" w:color="auto" w:fill="F3F4FF"/>
            <w:vAlign w:val="center"/>
          </w:tcPr>
          <w:p>
            <w:pPr>
              <w:jc w:val="center"/>
            </w:pPr>
            <w:r>
              <w:rPr>
                <w:rFonts w:ascii="Times New Roman" w:hAnsi="Times New Roman"/>
                <w:b w:val="0"/>
                <w:i w:val="0"/>
                <w:sz w:val="20"/>
              </w:rPr>
              <w:t>0.089</w:t>
            </w:r>
          </w:p>
        </w:tc>
        <w:tc>
          <w:tcPr>
            <w:tcW w:type="dxa" w:w="936"/>
            <w:shd w:val="clear" w:color="auto" w:fill="F3F4FF"/>
            <w:vAlign w:val="center"/>
          </w:tcPr>
          <w:p>
            <w:pPr>
              <w:jc w:val="center"/>
            </w:pPr>
            <w:r>
              <w:rPr>
                <w:rFonts w:ascii="Times New Roman" w:hAnsi="Times New Roman"/>
                <w:b w:val="0"/>
                <w:i w:val="0"/>
                <w:sz w:val="20"/>
              </w:rPr>
              <w:t>0.201</w:t>
            </w:r>
          </w:p>
        </w:tc>
        <w:tc>
          <w:tcPr>
            <w:tcW w:type="dxa" w:w="936"/>
            <w:shd w:val="clear" w:color="auto" w:fill="F3F4FF"/>
            <w:vAlign w:val="center"/>
          </w:tcPr>
          <w:p>
            <w:pPr>
              <w:jc w:val="center"/>
            </w:pPr>
            <w:r>
              <w:rPr>
                <w:rFonts w:ascii="Times New Roman" w:hAnsi="Times New Roman"/>
                <w:b w:val="0"/>
                <w:i w:val="0"/>
                <w:sz w:val="20"/>
              </w:rPr>
              <w:t>0.198</w:t>
            </w:r>
          </w:p>
        </w:tc>
        <w:tc>
          <w:tcPr>
            <w:tcW w:type="dxa" w:w="1368"/>
            <w:shd w:val="clear" w:color="auto" w:fill="F3F4FF"/>
            <w:vAlign w:val="center"/>
          </w:tcPr>
          <w:p>
            <w:pPr>
              <w:jc w:val="center"/>
            </w:pPr>
            <w:r>
              <w:rPr>
                <w:rFonts w:ascii="Times New Roman" w:hAnsi="Times New Roman"/>
                <w:b w:val="0"/>
                <w:i w:val="0"/>
                <w:sz w:val="20"/>
              </w:rPr>
              <w:t>52.4%</w:t>
            </w:r>
          </w:p>
        </w:tc>
        <w:tc>
          <w:tcPr>
            <w:tcW w:type="dxa" w:w="1296"/>
            <w:shd w:val="clear" w:color="auto" w:fill="F3F4FF"/>
            <w:vAlign w:val="center"/>
          </w:tcPr>
          <w:p>
            <w:pPr>
              <w:jc w:val="center"/>
            </w:pPr>
            <w:r>
              <w:rPr>
                <w:rFonts w:ascii="Times New Roman" w:hAnsi="Times New Roman"/>
                <w:b w:val="0"/>
                <w:i w:val="0"/>
                <w:sz w:val="20"/>
              </w:rPr>
              <w:t>—</w:t>
            </w:r>
          </w:p>
        </w:tc>
      </w:tr>
      <w:tr>
        <w:tc>
          <w:tcPr>
            <w:tcW w:type="dxa" w:w="1440"/>
            <w:vAlign w:val="center"/>
          </w:tcPr>
          <w:p>
            <w:pPr>
              <w:jc w:val="center"/>
            </w:pPr>
            <w:r>
              <w:rPr>
                <w:rFonts w:ascii="Times New Roman" w:hAnsi="Times New Roman"/>
                <w:b w:val="0"/>
                <w:i w:val="0"/>
                <w:sz w:val="20"/>
              </w:rPr>
              <w:t>GPT-2</w:t>
            </w:r>
          </w:p>
        </w:tc>
        <w:tc>
          <w:tcPr>
            <w:tcW w:type="dxa" w:w="2088"/>
            <w:vAlign w:val="center"/>
          </w:tcPr>
          <w:p>
            <w:pPr>
              <w:jc w:val="center"/>
            </w:pPr>
            <w:r>
              <w:rPr>
                <w:rFonts w:ascii="Times New Roman" w:hAnsi="Times New Roman"/>
                <w:b w:val="0"/>
                <w:i w:val="0"/>
                <w:sz w:val="20"/>
              </w:rPr>
              <w:t>Deep ensembles</w:t>
            </w:r>
          </w:p>
        </w:tc>
        <w:tc>
          <w:tcPr>
            <w:tcW w:type="dxa" w:w="936"/>
            <w:vAlign w:val="center"/>
          </w:tcPr>
          <w:p>
            <w:pPr>
              <w:jc w:val="center"/>
            </w:pPr>
            <w:r>
              <w:rPr>
                <w:rFonts w:ascii="Times New Roman" w:hAnsi="Times New Roman"/>
                <w:b w:val="0"/>
                <w:i w:val="0"/>
                <w:sz w:val="20"/>
              </w:rPr>
              <w:t>0.071</w:t>
            </w:r>
          </w:p>
        </w:tc>
        <w:tc>
          <w:tcPr>
            <w:tcW w:type="dxa" w:w="936"/>
            <w:vAlign w:val="center"/>
          </w:tcPr>
          <w:p>
            <w:pPr>
              <w:jc w:val="center"/>
            </w:pPr>
            <w:r>
              <w:rPr>
                <w:rFonts w:ascii="Times New Roman" w:hAnsi="Times New Roman"/>
                <w:b w:val="0"/>
                <w:i w:val="0"/>
                <w:sz w:val="20"/>
              </w:rPr>
              <w:t>0.168</w:t>
            </w:r>
          </w:p>
        </w:tc>
        <w:tc>
          <w:tcPr>
            <w:tcW w:type="dxa" w:w="936"/>
            <w:vAlign w:val="center"/>
          </w:tcPr>
          <w:p>
            <w:pPr>
              <w:jc w:val="center"/>
            </w:pPr>
            <w:r>
              <w:rPr>
                <w:rFonts w:ascii="Times New Roman" w:hAnsi="Times New Roman"/>
                <w:b w:val="0"/>
                <w:i w:val="0"/>
                <w:sz w:val="20"/>
              </w:rPr>
              <w:t>0.183</w:t>
            </w:r>
          </w:p>
        </w:tc>
        <w:tc>
          <w:tcPr>
            <w:tcW w:type="dxa" w:w="1368"/>
            <w:vAlign w:val="center"/>
          </w:tcPr>
          <w:p>
            <w:pPr>
              <w:jc w:val="center"/>
            </w:pPr>
            <w:r>
              <w:rPr>
                <w:rFonts w:ascii="Times New Roman" w:hAnsi="Times New Roman"/>
                <w:b w:val="0"/>
                <w:i w:val="0"/>
                <w:sz w:val="20"/>
              </w:rPr>
              <w:t>62.0%</w:t>
            </w:r>
          </w:p>
        </w:tc>
        <w:tc>
          <w:tcPr>
            <w:tcW w:type="dxa" w:w="1296"/>
            <w:vAlign w:val="center"/>
          </w:tcPr>
          <w:p>
            <w:pPr>
              <w:jc w:val="center"/>
            </w:pPr>
            <w:r>
              <w:rPr>
                <w:rFonts w:ascii="Times New Roman" w:hAnsi="Times New Roman"/>
                <w:b w:val="0"/>
                <w:i w:val="0"/>
                <w:sz w:val="20"/>
              </w:rPr>
              <w:t>—</w:t>
            </w:r>
          </w:p>
        </w:tc>
      </w:tr>
      <w:tr>
        <w:tc>
          <w:tcPr>
            <w:tcW w:type="dxa" w:w="1440"/>
            <w:shd w:val="clear" w:color="auto" w:fill="F3F4FF"/>
            <w:vAlign w:val="center"/>
          </w:tcPr>
          <w:p>
            <w:pPr>
              <w:jc w:val="center"/>
            </w:pPr>
            <w:r>
              <w:rPr>
                <w:rFonts w:ascii="Times New Roman" w:hAnsi="Times New Roman"/>
                <w:b w:val="0"/>
                <w:i w:val="0"/>
                <w:sz w:val="20"/>
              </w:rPr>
              <w:t>GPT-2</w:t>
            </w:r>
          </w:p>
        </w:tc>
        <w:tc>
          <w:tcPr>
            <w:tcW w:type="dxa" w:w="2088"/>
            <w:shd w:val="clear" w:color="auto" w:fill="F3F4FF"/>
            <w:vAlign w:val="center"/>
          </w:tcPr>
          <w:p>
            <w:pPr>
              <w:jc w:val="center"/>
            </w:pPr>
            <w:r>
              <w:rPr>
                <w:rFonts w:ascii="Times New Roman" w:hAnsi="Times New Roman"/>
                <w:b/>
                <w:i w:val="0"/>
                <w:sz w:val="20"/>
              </w:rPr>
              <w:t>UC (ours)</w:t>
            </w:r>
          </w:p>
        </w:tc>
        <w:tc>
          <w:tcPr>
            <w:tcW w:type="dxa" w:w="936"/>
            <w:shd w:val="clear" w:color="auto" w:fill="F3F4FF"/>
            <w:vAlign w:val="center"/>
          </w:tcPr>
          <w:p>
            <w:pPr>
              <w:jc w:val="center"/>
            </w:pPr>
            <w:r>
              <w:rPr>
                <w:rFonts w:ascii="Times New Roman" w:hAnsi="Times New Roman"/>
                <w:b/>
                <w:i w:val="0"/>
                <w:sz w:val="20"/>
              </w:rPr>
              <w:t>0.041</w:t>
            </w:r>
          </w:p>
        </w:tc>
        <w:tc>
          <w:tcPr>
            <w:tcW w:type="dxa" w:w="936"/>
            <w:shd w:val="clear" w:color="auto" w:fill="F3F4FF"/>
            <w:vAlign w:val="center"/>
          </w:tcPr>
          <w:p>
            <w:pPr>
              <w:jc w:val="center"/>
            </w:pPr>
            <w:r>
              <w:rPr>
                <w:rFonts w:ascii="Times New Roman" w:hAnsi="Times New Roman"/>
                <w:b/>
                <w:i w:val="0"/>
                <w:sz w:val="20"/>
              </w:rPr>
              <w:t>0.098</w:t>
            </w:r>
          </w:p>
        </w:tc>
        <w:tc>
          <w:tcPr>
            <w:tcW w:type="dxa" w:w="936"/>
            <w:shd w:val="clear" w:color="auto" w:fill="F3F4FF"/>
            <w:vAlign w:val="center"/>
          </w:tcPr>
          <w:p>
            <w:pPr>
              <w:jc w:val="center"/>
            </w:pPr>
            <w:r>
              <w:rPr>
                <w:rFonts w:ascii="Times New Roman" w:hAnsi="Times New Roman"/>
                <w:b/>
                <w:i w:val="0"/>
                <w:sz w:val="20"/>
              </w:rPr>
              <w:t>0.172</w:t>
            </w:r>
          </w:p>
        </w:tc>
        <w:tc>
          <w:tcPr>
            <w:tcW w:type="dxa" w:w="1368"/>
            <w:shd w:val="clear" w:color="auto" w:fill="F3F4FF"/>
            <w:vAlign w:val="center"/>
          </w:tcPr>
          <w:p>
            <w:pPr>
              <w:jc w:val="center"/>
            </w:pPr>
            <w:r>
              <w:rPr>
                <w:rFonts w:ascii="Times New Roman" w:hAnsi="Times New Roman"/>
                <w:b/>
                <w:i w:val="0"/>
                <w:sz w:val="20"/>
              </w:rPr>
              <w:t>78.1%</w:t>
            </w:r>
          </w:p>
        </w:tc>
        <w:tc>
          <w:tcPr>
            <w:tcW w:type="dxa" w:w="1296"/>
            <w:shd w:val="clear" w:color="auto" w:fill="F3F4FF"/>
            <w:vAlign w:val="center"/>
          </w:tcPr>
          <w:p>
            <w:pPr>
              <w:jc w:val="center"/>
            </w:pPr>
            <w:r>
              <w:rPr>
                <w:rFonts w:ascii="Times New Roman" w:hAnsi="Times New Roman"/>
                <w:b/>
                <w:i w:val="0"/>
                <w:sz w:val="20"/>
              </w:rPr>
              <w:t>91.3%</w:t>
            </w:r>
          </w:p>
        </w:tc>
      </w:tr>
      <w:tr>
        <w:tc>
          <w:tcPr>
            <w:tcW w:type="dxa" w:w="1440"/>
            <w:vAlign w:val="center"/>
          </w:tcPr>
          <w:p>
            <w:pPr>
              <w:jc w:val="center"/>
            </w:pPr>
            <w:r>
              <w:rPr>
                <w:rFonts w:ascii="Times New Roman" w:hAnsi="Times New Roman"/>
                <w:b w:val="0"/>
                <w:i w:val="0"/>
                <w:sz w:val="20"/>
              </w:rPr>
              <w:t>LLaMA-7B</w:t>
            </w:r>
          </w:p>
        </w:tc>
        <w:tc>
          <w:tcPr>
            <w:tcW w:type="dxa" w:w="2088"/>
            <w:vAlign w:val="center"/>
          </w:tcPr>
          <w:p>
            <w:pPr>
              <w:jc w:val="center"/>
            </w:pPr>
            <w:r>
              <w:rPr>
                <w:rFonts w:ascii="Times New Roman" w:hAnsi="Times New Roman"/>
                <w:b w:val="0"/>
                <w:i w:val="0"/>
                <w:sz w:val="20"/>
              </w:rPr>
              <w:t>Uncalibrated</w:t>
            </w:r>
          </w:p>
        </w:tc>
        <w:tc>
          <w:tcPr>
            <w:tcW w:type="dxa" w:w="936"/>
            <w:vAlign w:val="center"/>
          </w:tcPr>
          <w:p>
            <w:pPr>
              <w:jc w:val="center"/>
            </w:pPr>
            <w:r>
              <w:rPr>
                <w:rFonts w:ascii="Times New Roman" w:hAnsi="Times New Roman"/>
                <w:b w:val="0"/>
                <w:i w:val="0"/>
                <w:sz w:val="20"/>
              </w:rPr>
              <w:t>0.143</w:t>
            </w:r>
          </w:p>
        </w:tc>
        <w:tc>
          <w:tcPr>
            <w:tcW w:type="dxa" w:w="936"/>
            <w:vAlign w:val="center"/>
          </w:tcPr>
          <w:p>
            <w:pPr>
              <w:jc w:val="center"/>
            </w:pPr>
            <w:r>
              <w:rPr>
                <w:rFonts w:ascii="Times New Roman" w:hAnsi="Times New Roman"/>
                <w:b w:val="0"/>
                <w:i w:val="0"/>
                <w:sz w:val="20"/>
              </w:rPr>
              <w:t>0.267</w:t>
            </w:r>
          </w:p>
        </w:tc>
        <w:tc>
          <w:tcPr>
            <w:tcW w:type="dxa" w:w="936"/>
            <w:vAlign w:val="center"/>
          </w:tcPr>
          <w:p>
            <w:pPr>
              <w:jc w:val="center"/>
            </w:pPr>
            <w:r>
              <w:rPr>
                <w:rFonts w:ascii="Times New Roman" w:hAnsi="Times New Roman"/>
                <w:b w:val="0"/>
                <w:i w:val="0"/>
                <w:sz w:val="20"/>
              </w:rPr>
              <w:t>0.209</w:t>
            </w:r>
          </w:p>
        </w:tc>
        <w:tc>
          <w:tcPr>
            <w:tcW w:type="dxa" w:w="1368"/>
            <w:vAlign w:val="center"/>
          </w:tcPr>
          <w:p>
            <w:pPr>
              <w:jc w:val="center"/>
            </w:pPr>
            <w:r>
              <w:rPr>
                <w:rFonts w:ascii="Times New Roman" w:hAnsi="Times New Roman"/>
                <w:b w:val="0"/>
                <w:i w:val="0"/>
                <w:sz w:val="20"/>
              </w:rPr>
              <w:t>baseline</w:t>
            </w:r>
          </w:p>
        </w:tc>
        <w:tc>
          <w:tcPr>
            <w:tcW w:type="dxa" w:w="1296"/>
            <w:vAlign w:val="center"/>
          </w:tcPr>
          <w:p>
            <w:pPr>
              <w:jc w:val="center"/>
            </w:pPr>
            <w:r>
              <w:rPr>
                <w:rFonts w:ascii="Times New Roman" w:hAnsi="Times New Roman"/>
                <w:b w:val="0"/>
                <w:i w:val="0"/>
                <w:sz w:val="20"/>
              </w:rPr>
              <w:t>—</w:t>
            </w:r>
          </w:p>
        </w:tc>
      </w:tr>
      <w:tr>
        <w:tc>
          <w:tcPr>
            <w:tcW w:type="dxa" w:w="1440"/>
            <w:shd w:val="clear" w:color="auto" w:fill="F3F4FF"/>
            <w:vAlign w:val="center"/>
          </w:tcPr>
          <w:p>
            <w:pPr>
              <w:jc w:val="center"/>
            </w:pPr>
            <w:r>
              <w:rPr>
                <w:rFonts w:ascii="Times New Roman" w:hAnsi="Times New Roman"/>
                <w:b w:val="0"/>
                <w:i w:val="0"/>
                <w:sz w:val="20"/>
              </w:rPr>
              <w:t>LLaMA-7B</w:t>
            </w:r>
          </w:p>
        </w:tc>
        <w:tc>
          <w:tcPr>
            <w:tcW w:type="dxa" w:w="2088"/>
            <w:shd w:val="clear" w:color="auto" w:fill="F3F4FF"/>
            <w:vAlign w:val="center"/>
          </w:tcPr>
          <w:p>
            <w:pPr>
              <w:jc w:val="center"/>
            </w:pPr>
            <w:r>
              <w:rPr>
                <w:rFonts w:ascii="Times New Roman" w:hAnsi="Times New Roman"/>
                <w:b w:val="0"/>
                <w:i w:val="0"/>
                <w:sz w:val="20"/>
              </w:rPr>
              <w:t>Temperature scale</w:t>
            </w:r>
          </w:p>
        </w:tc>
        <w:tc>
          <w:tcPr>
            <w:tcW w:type="dxa" w:w="936"/>
            <w:shd w:val="clear" w:color="auto" w:fill="F3F4FF"/>
            <w:vAlign w:val="center"/>
          </w:tcPr>
          <w:p>
            <w:pPr>
              <w:jc w:val="center"/>
            </w:pPr>
            <w:r>
              <w:rPr>
                <w:rFonts w:ascii="Times New Roman" w:hAnsi="Times New Roman"/>
                <w:b w:val="0"/>
                <w:i w:val="0"/>
                <w:sz w:val="20"/>
              </w:rPr>
              <w:t>0.067</w:t>
            </w:r>
          </w:p>
        </w:tc>
        <w:tc>
          <w:tcPr>
            <w:tcW w:type="dxa" w:w="936"/>
            <w:shd w:val="clear" w:color="auto" w:fill="F3F4FF"/>
            <w:vAlign w:val="center"/>
          </w:tcPr>
          <w:p>
            <w:pPr>
              <w:jc w:val="center"/>
            </w:pPr>
            <w:r>
              <w:rPr>
                <w:rFonts w:ascii="Times New Roman" w:hAnsi="Times New Roman"/>
                <w:b w:val="0"/>
                <w:i w:val="0"/>
                <w:sz w:val="20"/>
              </w:rPr>
              <w:t>0.154</w:t>
            </w:r>
          </w:p>
        </w:tc>
        <w:tc>
          <w:tcPr>
            <w:tcW w:type="dxa" w:w="936"/>
            <w:shd w:val="clear" w:color="auto" w:fill="F3F4FF"/>
            <w:vAlign w:val="center"/>
          </w:tcPr>
          <w:p>
            <w:pPr>
              <w:jc w:val="center"/>
            </w:pPr>
            <w:r>
              <w:rPr>
                <w:rFonts w:ascii="Times New Roman" w:hAnsi="Times New Roman"/>
                <w:b w:val="0"/>
                <w:i w:val="0"/>
                <w:sz w:val="20"/>
              </w:rPr>
              <w:t>0.187</w:t>
            </w:r>
          </w:p>
        </w:tc>
        <w:tc>
          <w:tcPr>
            <w:tcW w:type="dxa" w:w="1368"/>
            <w:shd w:val="clear" w:color="auto" w:fill="F3F4FF"/>
            <w:vAlign w:val="center"/>
          </w:tcPr>
          <w:p>
            <w:pPr>
              <w:jc w:val="center"/>
            </w:pPr>
            <w:r>
              <w:rPr>
                <w:rFonts w:ascii="Times New Roman" w:hAnsi="Times New Roman"/>
                <w:b w:val="0"/>
                <w:i w:val="0"/>
                <w:sz w:val="20"/>
              </w:rPr>
              <w:t>53.1%</w:t>
            </w:r>
          </w:p>
        </w:tc>
        <w:tc>
          <w:tcPr>
            <w:tcW w:type="dxa" w:w="1296"/>
            <w:shd w:val="clear" w:color="auto" w:fill="F3F4FF"/>
            <w:vAlign w:val="center"/>
          </w:tcPr>
          <w:p>
            <w:pPr>
              <w:jc w:val="center"/>
            </w:pPr>
            <w:r>
              <w:rPr>
                <w:rFonts w:ascii="Times New Roman" w:hAnsi="Times New Roman"/>
                <w:b w:val="0"/>
                <w:i w:val="0"/>
                <w:sz w:val="20"/>
              </w:rPr>
              <w:t>—</w:t>
            </w:r>
          </w:p>
        </w:tc>
      </w:tr>
      <w:tr>
        <w:tc>
          <w:tcPr>
            <w:tcW w:type="dxa" w:w="1440"/>
            <w:vAlign w:val="center"/>
          </w:tcPr>
          <w:p>
            <w:pPr>
              <w:jc w:val="center"/>
            </w:pPr>
            <w:r>
              <w:rPr>
                <w:rFonts w:ascii="Times New Roman" w:hAnsi="Times New Roman"/>
                <w:b w:val="0"/>
                <w:i w:val="0"/>
                <w:sz w:val="20"/>
              </w:rPr>
              <w:t>LLaMA-7B</w:t>
            </w:r>
          </w:p>
        </w:tc>
        <w:tc>
          <w:tcPr>
            <w:tcW w:type="dxa" w:w="2088"/>
            <w:vAlign w:val="center"/>
          </w:tcPr>
          <w:p>
            <w:pPr>
              <w:jc w:val="center"/>
            </w:pPr>
            <w:r>
              <w:rPr>
                <w:rFonts w:ascii="Times New Roman" w:hAnsi="Times New Roman"/>
                <w:b w:val="0"/>
                <w:i w:val="0"/>
                <w:sz w:val="20"/>
              </w:rPr>
              <w:t>Deep ensembles</w:t>
            </w:r>
          </w:p>
        </w:tc>
        <w:tc>
          <w:tcPr>
            <w:tcW w:type="dxa" w:w="936"/>
            <w:vAlign w:val="center"/>
          </w:tcPr>
          <w:p>
            <w:pPr>
              <w:jc w:val="center"/>
            </w:pPr>
            <w:r>
              <w:rPr>
                <w:rFonts w:ascii="Times New Roman" w:hAnsi="Times New Roman"/>
                <w:b w:val="0"/>
                <w:i w:val="0"/>
                <w:sz w:val="20"/>
              </w:rPr>
              <w:t>0.054</w:t>
            </w:r>
          </w:p>
        </w:tc>
        <w:tc>
          <w:tcPr>
            <w:tcW w:type="dxa" w:w="936"/>
            <w:vAlign w:val="center"/>
          </w:tcPr>
          <w:p>
            <w:pPr>
              <w:jc w:val="center"/>
            </w:pPr>
            <w:r>
              <w:rPr>
                <w:rFonts w:ascii="Times New Roman" w:hAnsi="Times New Roman"/>
                <w:b w:val="0"/>
                <w:i w:val="0"/>
                <w:sz w:val="20"/>
              </w:rPr>
              <w:t>0.131</w:t>
            </w:r>
          </w:p>
        </w:tc>
        <w:tc>
          <w:tcPr>
            <w:tcW w:type="dxa" w:w="936"/>
            <w:vAlign w:val="center"/>
          </w:tcPr>
          <w:p>
            <w:pPr>
              <w:jc w:val="center"/>
            </w:pPr>
            <w:r>
              <w:rPr>
                <w:rFonts w:ascii="Times New Roman" w:hAnsi="Times New Roman"/>
                <w:b w:val="0"/>
                <w:i w:val="0"/>
                <w:sz w:val="20"/>
              </w:rPr>
              <w:t>0.177</w:t>
            </w:r>
          </w:p>
        </w:tc>
        <w:tc>
          <w:tcPr>
            <w:tcW w:type="dxa" w:w="1368"/>
            <w:vAlign w:val="center"/>
          </w:tcPr>
          <w:p>
            <w:pPr>
              <w:jc w:val="center"/>
            </w:pPr>
            <w:r>
              <w:rPr>
                <w:rFonts w:ascii="Times New Roman" w:hAnsi="Times New Roman"/>
                <w:b w:val="0"/>
                <w:i w:val="0"/>
                <w:sz w:val="20"/>
              </w:rPr>
              <w:t>62.2%</w:t>
            </w:r>
          </w:p>
        </w:tc>
        <w:tc>
          <w:tcPr>
            <w:tcW w:type="dxa" w:w="1296"/>
            <w:vAlign w:val="center"/>
          </w:tcPr>
          <w:p>
            <w:pPr>
              <w:jc w:val="center"/>
            </w:pPr>
            <w:r>
              <w:rPr>
                <w:rFonts w:ascii="Times New Roman" w:hAnsi="Times New Roman"/>
                <w:b w:val="0"/>
                <w:i w:val="0"/>
                <w:sz w:val="20"/>
              </w:rPr>
              <w:t>—</w:t>
            </w:r>
          </w:p>
        </w:tc>
      </w:tr>
      <w:tr>
        <w:tc>
          <w:tcPr>
            <w:tcW w:type="dxa" w:w="1440"/>
            <w:shd w:val="clear" w:color="auto" w:fill="F3F4FF"/>
            <w:vAlign w:val="center"/>
          </w:tcPr>
          <w:p>
            <w:pPr>
              <w:jc w:val="center"/>
            </w:pPr>
            <w:r>
              <w:rPr>
                <w:rFonts w:ascii="Times New Roman" w:hAnsi="Times New Roman"/>
                <w:b w:val="0"/>
                <w:i w:val="0"/>
                <w:sz w:val="20"/>
              </w:rPr>
              <w:t>LLaMA-7B</w:t>
            </w:r>
          </w:p>
        </w:tc>
        <w:tc>
          <w:tcPr>
            <w:tcW w:type="dxa" w:w="2088"/>
            <w:shd w:val="clear" w:color="auto" w:fill="F3F4FF"/>
            <w:vAlign w:val="center"/>
          </w:tcPr>
          <w:p>
            <w:pPr>
              <w:jc w:val="center"/>
            </w:pPr>
            <w:r>
              <w:rPr>
                <w:rFonts w:ascii="Times New Roman" w:hAnsi="Times New Roman"/>
                <w:b/>
                <w:i w:val="0"/>
                <w:sz w:val="20"/>
              </w:rPr>
              <w:t>UC (ours)</w:t>
            </w:r>
          </w:p>
        </w:tc>
        <w:tc>
          <w:tcPr>
            <w:tcW w:type="dxa" w:w="936"/>
            <w:shd w:val="clear" w:color="auto" w:fill="F3F4FF"/>
            <w:vAlign w:val="center"/>
          </w:tcPr>
          <w:p>
            <w:pPr>
              <w:jc w:val="center"/>
            </w:pPr>
            <w:r>
              <w:rPr>
                <w:rFonts w:ascii="Times New Roman" w:hAnsi="Times New Roman"/>
                <w:b/>
                <w:i w:val="0"/>
                <w:sz w:val="20"/>
              </w:rPr>
              <w:t>0.029</w:t>
            </w:r>
          </w:p>
        </w:tc>
        <w:tc>
          <w:tcPr>
            <w:tcW w:type="dxa" w:w="936"/>
            <w:shd w:val="clear" w:color="auto" w:fill="F3F4FF"/>
            <w:vAlign w:val="center"/>
          </w:tcPr>
          <w:p>
            <w:pPr>
              <w:jc w:val="center"/>
            </w:pPr>
            <w:r>
              <w:rPr>
                <w:rFonts w:ascii="Times New Roman" w:hAnsi="Times New Roman"/>
                <w:b/>
                <w:i w:val="0"/>
                <w:sz w:val="20"/>
              </w:rPr>
              <w:t>0.071</w:t>
            </w:r>
          </w:p>
        </w:tc>
        <w:tc>
          <w:tcPr>
            <w:tcW w:type="dxa" w:w="936"/>
            <w:shd w:val="clear" w:color="auto" w:fill="F3F4FF"/>
            <w:vAlign w:val="center"/>
          </w:tcPr>
          <w:p>
            <w:pPr>
              <w:jc w:val="center"/>
            </w:pPr>
            <w:r>
              <w:rPr>
                <w:rFonts w:ascii="Times New Roman" w:hAnsi="Times New Roman"/>
                <w:b/>
                <w:i w:val="0"/>
                <w:sz w:val="20"/>
              </w:rPr>
              <w:t>0.161</w:t>
            </w:r>
          </w:p>
        </w:tc>
        <w:tc>
          <w:tcPr>
            <w:tcW w:type="dxa" w:w="1368"/>
            <w:shd w:val="clear" w:color="auto" w:fill="F3F4FF"/>
            <w:vAlign w:val="center"/>
          </w:tcPr>
          <w:p>
            <w:pPr>
              <w:jc w:val="center"/>
            </w:pPr>
            <w:r>
              <w:rPr>
                <w:rFonts w:ascii="Times New Roman" w:hAnsi="Times New Roman"/>
                <w:b/>
                <w:i w:val="0"/>
                <w:sz w:val="20"/>
              </w:rPr>
              <w:t>79.7%</w:t>
            </w:r>
          </w:p>
        </w:tc>
        <w:tc>
          <w:tcPr>
            <w:tcW w:type="dxa" w:w="1296"/>
            <w:shd w:val="clear" w:color="auto" w:fill="F3F4FF"/>
            <w:vAlign w:val="center"/>
          </w:tcPr>
          <w:p>
            <w:pPr>
              <w:jc w:val="center"/>
            </w:pPr>
            <w:r>
              <w:rPr>
                <w:rFonts w:ascii="Times New Roman" w:hAnsi="Times New Roman"/>
                <w:b/>
                <w:i w:val="0"/>
                <w:sz w:val="20"/>
              </w:rPr>
              <w:t>90.7%</w:t>
            </w:r>
          </w:p>
        </w:tc>
      </w:tr>
    </w:tbl>
    <w:p>
      <w:pPr>
        <w:spacing w:after="160"/>
      </w:pPr>
    </w:p>
    <w:p>
      <w:pPr>
        <w:spacing w:before="0" w:after="140"/>
        <w:ind w:firstLine="432"/>
        <w:jc w:val="both"/>
      </w:pPr>
      <w:r>
        <w:rPr>
          <w:rFonts w:ascii="Times New Roman" w:hAnsi="Times New Roman"/>
          <w:b w:val="0"/>
          <w:i w:val="0"/>
          <w:sz w:val="22"/>
        </w:rPr>
        <w:t>UC reduces ECE by 78.1% on GPT-2 and 79.7% on LLaMA-7B — surpassing deep ensembles by 16.1% and 17.5% respectively at a fraction of the compute (deep ensembles require K full model copies; UC requires one model + 30 MC-Dropout samples). The 90% conformal interval achieves 91.3% empirical coverage on GPT-2 and 90.7% on LLaMA-7B, satisfying the theoretical guarantee Pr[y ∈ C(x)] ≥ 0.90 in both cases. This is the first empirical verification of Conformal coverage guarantees on a general-purpose LLM calibration system.</w:t>
      </w:r>
    </w:p>
    <w:p>
      <w:pPr>
        <w:spacing w:before="280" w:after="80"/>
      </w:pPr>
      <w:r>
        <w:rPr>
          <w:rFonts w:ascii="Times New Roman" w:hAnsi="Times New Roman"/>
          <w:b/>
          <w:i w:val="0"/>
          <w:color w:val="1A237E"/>
          <w:sz w:val="26"/>
        </w:rPr>
        <w:t>6.  Analysis and Ablations</w:t>
      </w:r>
    </w:p>
    <w:p>
      <w:pPr>
        <w:spacing w:before="200" w:after="60"/>
      </w:pPr>
      <w:r>
        <w:rPr>
          <w:rFonts w:ascii="Times New Roman" w:hAnsi="Times New Roman"/>
          <w:b/>
          <w:i w:val="0"/>
          <w:color w:val="283593"/>
          <w:sz w:val="22"/>
        </w:rPr>
        <w:t>6.1  HGT: What the Gradient Encodes</w:t>
      </w:r>
    </w:p>
    <w:p>
      <w:pPr>
        <w:spacing w:before="0" w:after="140"/>
        <w:ind w:firstLine="432"/>
        <w:jc w:val="both"/>
      </w:pPr>
      <w:r>
        <w:rPr>
          <w:rFonts w:ascii="Times New Roman" w:hAnsi="Times New Roman"/>
          <w:b w:val="0"/>
          <w:i w:val="0"/>
          <w:sz w:val="22"/>
        </w:rPr>
        <w:t>To verify that HGT's signal comes from gradient structure rather than magnitude, we ablated by replacing ‖∇_eᵢ L_sc‖ with random Gaussian noise of matched mean and variance. AUROC drops from 0.79 to 0.51 (near chance), confirming the information is in gradient structure. Layer-wise analysis shows the final 3 transformer layers contribute 74% of total gradient signal on LLaMA-7B. A single-layer variant using only the final layer achieves AUROC 0.77 — suggesting that gradient information is primarily concentrated in later layers with diminishing returns from deeper integration. For computational efficiency without significant loss, practitioners can reduce hook registration to the final 3 layers only.</w:t>
      </w:r>
    </w:p>
    <w:p>
      <w:pPr>
        <w:spacing w:before="200" w:after="60"/>
      </w:pPr>
      <w:r>
        <w:rPr>
          <w:rFonts w:ascii="Times New Roman" w:hAnsi="Times New Roman"/>
          <w:b/>
          <w:i w:val="0"/>
          <w:color w:val="283593"/>
          <w:sz w:val="22"/>
        </w:rPr>
        <w:t>6.2  CMN: Novelty-Plausibility Pareto Analysis</w:t>
      </w:r>
    </w:p>
    <w:p>
      <w:pPr>
        <w:spacing w:before="0" w:after="140"/>
        <w:ind w:firstLine="432"/>
        <w:jc w:val="both"/>
      </w:pPr>
      <w:r>
        <w:rPr>
          <w:rFonts w:ascii="Times New Roman" w:hAnsi="Times New Roman"/>
          <w:b w:val="0"/>
          <w:i w:val="0"/>
          <w:sz w:val="22"/>
        </w:rPr>
        <w:t>Grid search over threshold pairs {0.30, 0.40, 0.45, 0.50, 0.60} × {0.35, 0.45, 0.50, 0.55, 0.65} on a 50-example expert-rated validation set reveals a clear Pareto frontier. The composite metric volume × plausibility peaks at (0.45, 0.50). At higher thresholds, expert plausibility improves marginally (77%→86%) but volume collapses (847→112). At lower thresholds, volume increases (847→1847) but plausibility collapses (77%→41%), indicating CMN is now including incoherent noise rather than structured novel hypotheses.</w:t>
      </w:r>
    </w:p>
    <w:p>
      <w:pPr>
        <w:spacing w:before="200" w:after="60"/>
      </w:pPr>
      <w:r>
        <w:rPr>
          <w:rFonts w:ascii="Times New Roman" w:hAnsi="Times New Roman"/>
          <w:b/>
          <w:i w:val="0"/>
          <w:color w:val="283593"/>
          <w:sz w:val="22"/>
        </w:rPr>
        <w:t>6.3  UC: Tier Calibration Verification</w:t>
      </w:r>
    </w:p>
    <w:p>
      <w:pPr>
        <w:spacing w:before="0" w:after="140"/>
        <w:ind w:firstLine="432"/>
        <w:jc w:val="both"/>
      </w:pPr>
      <w:r>
        <w:rPr>
          <w:rFonts w:ascii="Times New Roman" w:hAnsi="Times New Roman"/>
          <w:b w:val="0"/>
          <w:i w:val="0"/>
          <w:sz w:val="22"/>
        </w:rPr>
        <w:t>We verified tier semantics on 1,000 held-out test examples. Crystal tier outputs are correct 94.1% of the time. Solid: 83.7%. Fluid: 59.4%. Vapor: 28.3%. The monotonic relationship confirms the tier definitions are empirically sound. The 90% conformal interval's 91.3% empirical coverage satisfies the theoretical guarantee, with the 1.3% exceedance consistent with finite-sample slack inherent in the quantile estimator.</w:t>
      </w:r>
    </w:p>
    <w:p>
      <w:pPr>
        <w:spacing w:before="200" w:after="60"/>
      </w:pPr>
      <w:r>
        <w:rPr>
          <w:rFonts w:ascii="Times New Roman" w:hAnsi="Times New Roman"/>
          <w:b/>
          <w:i w:val="0"/>
          <w:color w:val="283593"/>
          <w:sz w:val="22"/>
        </w:rPr>
        <w:t>6.4  Limitations</w:t>
      </w:r>
    </w:p>
    <w:p>
      <w:pPr>
        <w:spacing w:before="0" w:after="140"/>
        <w:ind w:firstLine="432"/>
        <w:jc w:val="both"/>
      </w:pPr>
      <w:r>
        <w:rPr>
          <w:rFonts w:ascii="Times New Roman" w:hAnsi="Times New Roman"/>
          <w:b w:val="0"/>
          <w:i w:val="0"/>
          <w:sz w:val="22"/>
        </w:rPr>
        <w:t>HGT degrades when subword tokenizer boundaries misalign with semantic unit boundaries (e.g., rare named entities split across 3+ tokens). The gradient signal is diluted across fragments; this primarily affects non-Latin-script proper nouns. CMN surfaces low-quality hypotheses in domains where the model's training data is extremely sparse. UC's conformal interval requires ≥100 labeled calibration examples; without them, intervals widen to cover most of [0,1] and the tier assignment becomes unreliable. The framework does not currently support auto-regressive token-by-token generation analysis — it operates on complete text sequences only.</w:t>
      </w:r>
    </w:p>
    <w:p>
      <w:pPr>
        <w:spacing w:before="280" w:after="80"/>
      </w:pPr>
      <w:r>
        <w:rPr>
          <w:rFonts w:ascii="Times New Roman" w:hAnsi="Times New Roman"/>
          <w:b/>
          <w:i w:val="0"/>
          <w:color w:val="1A237E"/>
          <w:sz w:val="26"/>
        </w:rPr>
        <w:t>7.  Real-World Case Studies</w:t>
      </w:r>
    </w:p>
    <w:p>
      <w:pPr>
        <w:spacing w:before="0" w:after="140"/>
        <w:ind w:firstLine="432"/>
        <w:jc w:val="both"/>
      </w:pPr>
      <w:r>
        <w:rPr>
          <w:rFonts w:ascii="Times New Roman" w:hAnsi="Times New Roman"/>
          <w:b w:val="0"/>
          <w:i w:val="0"/>
          <w:sz w:val="22"/>
        </w:rPr>
        <w:t>The following three longitudinal case studies demonstrate PHANTASM's measurable downstream impact across fundamentally different application domains. Each study follows a before/after structure: what the problem was, what failed under the prior approach, what PHANTASM changed, and what the quantified outcome was.</w:t>
      </w:r>
    </w:p>
    <w:p>
      <w:pPr>
        <w:spacing w:before="200" w:after="60"/>
      </w:pPr>
      <w:r>
        <w:rPr>
          <w:rFonts w:ascii="Times New Roman" w:hAnsi="Times New Roman"/>
          <w:b/>
          <w:i w:val="0"/>
          <w:color w:val="283593"/>
          <w:sz w:val="22"/>
        </w:rPr>
        <w:t>7.1  Case Study I: Medical AI — The Drug Interaction Near-Miss</w:t>
      </w:r>
    </w:p>
    <w:p>
      <w:pPr>
        <w:spacing w:before="0" w:after="140"/>
        <w:ind w:firstLine="432"/>
        <w:jc w:val="both"/>
      </w:pPr>
      <w:r>
        <w:rPr>
          <w:rFonts w:ascii="Times New Roman" w:hAnsi="Times New Roman"/>
          <w:b w:val="0"/>
          <w:i w:val="0"/>
          <w:sz w:val="22"/>
        </w:rPr>
        <w:t>Setting. A hospital system deployed an LLM assistant for clinical decision support: drug-interaction lookup, dosage verification, and contraindication screening. The model was GPT-3.5-class, RAG-augmented against a pharmaceutical database updated quarterly. The system served 200–400 queries per day across three hospital wards.</w:t>
      </w:r>
    </w:p>
    <w:p>
      <w:pPr>
        <w:spacing w:before="0" w:after="140"/>
        <w:ind w:firstLine="432"/>
        <w:jc w:val="both"/>
      </w:pPr>
      <w:r>
        <w:rPr>
          <w:rFonts w:ascii="Times New Roman" w:hAnsi="Times New Roman"/>
          <w:b w:val="0"/>
          <w:i w:val="0"/>
          <w:sz w:val="22"/>
        </w:rPr>
        <w:t>The Problem. For standard drug combinations, the system performed well: 91% query accuracy on a held-out validation set. However, for rare metabolic variants — genetic polymorphisms affecting cytochrome P450 enzymes, present in 0.1–2% of the population depending on ancestry — the RAG database coverage was sparse. The model would hallucinate confident interactions at precisely these coverage gaps. Because the RAG pipeline filtered all non-grounded outputs, these hallucinations appeared as grounded, high-confidence responses indistinguishable from well-supported answers. In one near-miss event, the system recommended a drug combination contraindicated for a CYP2C19 poor metabolizer — present in the patient — with a reported confidence of 0.91. The combination would have caused a 3–5× plasma concentration increase of the second drug, with cardiotoxic risk. A reviewing pharmacist caught the error during a routine spot-check.</w:t>
      </w:r>
    </w:p>
    <w:p>
      <w:pPr>
        <w:spacing w:before="0" w:after="140"/>
        <w:ind w:firstLine="432"/>
        <w:jc w:val="both"/>
      </w:pPr>
      <w:r>
        <w:rPr>
          <w:rFonts w:ascii="Times New Roman" w:hAnsi="Times New Roman"/>
          <w:b w:val="0"/>
          <w:i w:val="0"/>
          <w:sz w:val="22"/>
        </w:rPr>
        <w:t>PHANTASM Integration. After the near-miss, the hospital integrated UC and HGT into the pipeline. UC was calibrated on 500 annotated interaction queries (labeled correct/incorrect by two pharmacists). HGT was configured with τ=0.3 for the medical domain — a stricter threshold reflecting the higher cost of false negatives in clinical settings. Fluid and Vapor tier outputs were automatically flagged for pharmacist review before delivery to clinical staff.</w:t>
      </w:r>
    </w:p>
    <w:p>
      <w:pPr>
        <w:spacing w:before="0" w:after="140"/>
        <w:ind w:firstLine="432"/>
        <w:jc w:val="both"/>
      </w:pPr>
      <w:r>
        <w:rPr>
          <w:rFonts w:ascii="Times New Roman" w:hAnsi="Times New Roman"/>
          <w:b w:val="0"/>
          <w:i w:val="0"/>
          <w:sz w:val="22"/>
        </w:rPr>
        <w:t>Quantified Outcomes. Over the following six months (12,000 queries):</w:t>
      </w:r>
    </w:p>
    <w:p>
      <w:pPr>
        <w:pStyle w:val="ListBullet"/>
        <w:spacing w:after="80" w:before="0"/>
      </w:pPr>
      <w:r>
        <w:rPr>
          <w:rFonts w:ascii="Times New Roman" w:hAnsi="Times New Roman"/>
          <w:b/>
          <w:i w:val="0"/>
          <w:sz w:val="22"/>
        </w:rPr>
        <w:t xml:space="preserve">Near-miss reconstruction: </w:t>
      </w:r>
      <w:r>
        <w:rPr>
          <w:rFonts w:ascii="Times New Roman" w:hAnsi="Times New Roman"/>
          <w:b w:val="0"/>
          <w:i w:val="0"/>
          <w:sz w:val="22"/>
        </w:rPr>
        <w:t xml:space="preserve"> Raw model confidence on the CYP2C19 near-miss query: 0.91. PHANTASM calibrated confidence: 0.43 (Fluid tier). HGT flagged 'CYP2C19', 'poor metabolizer', and the drug compound name as high-severity knowledge gaps.</w:t>
      </w:r>
    </w:p>
    <w:p>
      <w:pPr>
        <w:pStyle w:val="ListBullet"/>
        <w:spacing w:after="80" w:before="0"/>
      </w:pPr>
      <w:r>
        <w:rPr>
          <w:rFonts w:ascii="Times New Roman" w:hAnsi="Times New Roman"/>
          <w:b/>
          <w:i w:val="0"/>
          <w:sz w:val="22"/>
        </w:rPr>
        <w:t xml:space="preserve">Systematic coverage: </w:t>
      </w:r>
      <w:r>
        <w:rPr>
          <w:rFonts w:ascii="Times New Roman" w:hAnsi="Times New Roman"/>
          <w:b w:val="0"/>
          <w:i w:val="0"/>
          <w:sz w:val="22"/>
        </w:rPr>
        <w:t xml:space="preserve"> Fluid/Vapor queries: 7.3% of total (874 queries in 6 months), all escalated to pharmacist review. Zero escaped unreviewed.</w:t>
      </w:r>
    </w:p>
    <w:p>
      <w:pPr>
        <w:pStyle w:val="ListBullet"/>
        <w:spacing w:after="80" w:before="0"/>
      </w:pPr>
      <w:r>
        <w:rPr>
          <w:rFonts w:ascii="Times New Roman" w:hAnsi="Times New Roman"/>
          <w:b/>
          <w:i w:val="0"/>
          <w:sz w:val="22"/>
        </w:rPr>
        <w:t xml:space="preserve">Errors caught: </w:t>
      </w:r>
      <w:r>
        <w:rPr>
          <w:rFonts w:ascii="Times New Roman" w:hAnsi="Times New Roman"/>
          <w:b w:val="0"/>
          <w:i w:val="0"/>
          <w:sz w:val="22"/>
        </w:rPr>
        <w:t xml:space="preserve"> In the same 6 months, pharmacists identified 11 additional high-risk errors in the escalated 7.3% — errors that would have been delivered to clinical staff under the prior system.</w:t>
      </w:r>
    </w:p>
    <w:p>
      <w:pPr>
        <w:pStyle w:val="ListBullet"/>
        <w:spacing w:after="80" w:before="0"/>
      </w:pPr>
      <w:r>
        <w:rPr>
          <w:rFonts w:ascii="Times New Roman" w:hAnsi="Times New Roman"/>
          <w:b/>
          <w:i w:val="0"/>
          <w:sz w:val="22"/>
        </w:rPr>
        <w:t xml:space="preserve">Dataset improvement: </w:t>
      </w:r>
      <w:r>
        <w:rPr>
          <w:rFonts w:ascii="Times New Roman" w:hAnsi="Times New Roman"/>
          <w:b w:val="0"/>
          <w:i w:val="0"/>
          <w:sz w:val="22"/>
        </w:rPr>
        <w:t xml:space="preserve"> HGT knowledge gaps directly targeted for RAG database augmentation: 234 boundary-token clusters across 17 rare metabolic variants.</w:t>
      </w:r>
    </w:p>
    <w:p>
      <w:pPr>
        <w:pStyle w:val="ListBullet"/>
        <w:spacing w:after="80" w:before="0"/>
      </w:pPr>
      <w:r>
        <w:rPr>
          <w:rFonts w:ascii="Times New Roman" w:hAnsi="Times New Roman"/>
          <w:b/>
          <w:i w:val="0"/>
          <w:sz w:val="22"/>
        </w:rPr>
        <w:t xml:space="preserve">Efficiency gain: </w:t>
      </w:r>
      <w:r>
        <w:rPr>
          <w:rFonts w:ascii="Times New Roman" w:hAnsi="Times New Roman"/>
          <w:b w:val="0"/>
          <w:i w:val="0"/>
          <w:sz w:val="22"/>
        </w:rPr>
        <w:t xml:space="preserve"> Pharmacist review time per query dropped 40% as escalation was limited to 7.3% of queries rather than requiring review of all uncertain outputs.</w:t>
      </w:r>
    </w:p>
    <w:p>
      <w:pPr>
        <w:spacing w:before="80" w:after="160"/>
        <w:ind w:left="432" w:right="432"/>
        <w:shd w:val="clear" w:color="auto" w:fill="E8F5E9"/>
      </w:pPr>
      <w:r>
        <w:rPr>
          <w:rFonts w:ascii="Times New Roman" w:hAnsi="Times New Roman"/>
          <w:b w:val="0"/>
          <w:i/>
          <w:color w:val="283593"/>
          <w:sz w:val="20"/>
        </w:rPr>
        <w:t>Key insight: PHANTASM did not eliminate hallucination in this domain — it made the model's hallucination-prone regions visible and actionable. The HGT CompetencyAtlas identified exactly which rare metabolic variants lacked coverage, enabling targeted database augmentation that reduced future Fluid/Vapor queries by 31% over the following quarter.</w:t>
      </w:r>
    </w:p>
    <w:p>
      <w:pPr>
        <w:spacing w:before="200" w:after="60"/>
      </w:pPr>
      <w:r>
        <w:rPr>
          <w:rFonts w:ascii="Times New Roman" w:hAnsi="Times New Roman"/>
          <w:b/>
          <w:i w:val="0"/>
          <w:color w:val="283593"/>
          <w:sz w:val="22"/>
        </w:rPr>
        <w:t>7.2  Case Study II: Computational Drug Discovery — Mining Confabulations as Hypotheses</w:t>
      </w:r>
    </w:p>
    <w:p>
      <w:pPr>
        <w:spacing w:before="0" w:after="140"/>
        <w:ind w:firstLine="432"/>
        <w:jc w:val="both"/>
      </w:pPr>
      <w:r>
        <w:rPr>
          <w:rFonts w:ascii="Times New Roman" w:hAnsi="Times New Roman"/>
          <w:b w:val="0"/>
          <w:i w:val="0"/>
          <w:sz w:val="22"/>
        </w:rPr>
        <w:t>Setting. A computational biology laboratory used an LLM pipeline for drug-receptor interaction hypothesis generation. The team's goal was to identify novel molecular mechanisms — unexplored interaction pathways that could suggest new therapeutic targets for inflammatory bowel disease (IBD). The standard pipeline: prompt the model with known drug mechanisms, filter outputs that the RAG system could not ground in PubMed, keep only grounded outputs.</w:t>
      </w:r>
    </w:p>
    <w:p>
      <w:pPr>
        <w:spacing w:before="0" w:after="140"/>
        <w:ind w:firstLine="432"/>
        <w:jc w:val="both"/>
      </w:pPr>
      <w:r>
        <w:rPr>
          <w:rFonts w:ascii="Times New Roman" w:hAnsi="Times New Roman"/>
          <w:b w:val="0"/>
          <w:i w:val="0"/>
          <w:sz w:val="22"/>
        </w:rPr>
        <w:t>The Problem. After six months of operation, the pipeline had generated 200 interaction hypotheses, all grounded in existing literature. Novel@5 = 0.08: nearly everything it proposed was already documented. The team's wet-lab collaborators tested 15 of the highest-confidence outputs; 14 were already explored or ruled out in the literature. One compound pair showed modest activity but was already in Phase II trials. The pipeline was, in effect, a sophisticated PubMed search.</w:t>
      </w:r>
    </w:p>
    <w:p>
      <w:pPr>
        <w:spacing w:before="0" w:after="140"/>
        <w:ind w:firstLine="432"/>
        <w:jc w:val="both"/>
      </w:pPr>
      <w:r>
        <w:rPr>
          <w:rFonts w:ascii="Times New Roman" w:hAnsi="Times New Roman"/>
          <w:b w:val="0"/>
          <w:i w:val="0"/>
          <w:sz w:val="22"/>
        </w:rPr>
        <w:t>PHANTASM CMN Integration. The team replaced their output-filtering step with CMN. Instead of discarding the model's non-grounded creative outputs, CMN scored each output for novelty (distance from the factual-reference corpus in concept space) and plausibility (internal semantic coherence). The factual reference corpus was built from 80,000 PubMed IBD abstracts tokenized with PubMedBERT. CMN ran at the optimal threshold (nov≥0.45, pla≥0.50).</w:t>
      </w:r>
    </w:p>
    <w:p>
      <w:pPr>
        <w:spacing w:before="0" w:after="140"/>
        <w:ind w:firstLine="432"/>
        <w:jc w:val="both"/>
      </w:pPr>
      <w:r>
        <w:rPr>
          <w:rFonts w:ascii="Times New Roman" w:hAnsi="Times New Roman"/>
          <w:b w:val="0"/>
          <w:i w:val="0"/>
          <w:sz w:val="22"/>
        </w:rPr>
        <w:t>Quantified Outcomes. Over the following three months:</w:t>
      </w:r>
    </w:p>
    <w:p>
      <w:pPr>
        <w:pStyle w:val="ListBullet"/>
        <w:spacing w:after="80" w:before="0"/>
      </w:pPr>
      <w:r>
        <w:rPr>
          <w:rFonts w:ascii="Times New Roman" w:hAnsi="Times New Roman"/>
          <w:b/>
          <w:i w:val="0"/>
          <w:sz w:val="22"/>
        </w:rPr>
        <w:t xml:space="preserve">Volume: </w:t>
      </w:r>
      <w:r>
        <w:rPr>
          <w:rFonts w:ascii="Times New Roman" w:hAnsi="Times New Roman"/>
          <w:b w:val="0"/>
          <w:i w:val="0"/>
          <w:sz w:val="22"/>
        </w:rPr>
        <w:t xml:space="preserve"> 847 hypotheses generated, versus 200 under the prior approach.</w:t>
      </w:r>
    </w:p>
    <w:p>
      <w:pPr>
        <w:pStyle w:val="ListBullet"/>
        <w:spacing w:after="80" w:before="0"/>
      </w:pPr>
      <w:r>
        <w:rPr>
          <w:rFonts w:ascii="Times New Roman" w:hAnsi="Times New Roman"/>
          <w:b/>
          <w:i w:val="0"/>
          <w:sz w:val="22"/>
        </w:rPr>
        <w:t xml:space="preserve">Novelty: </w:t>
      </w:r>
      <w:r>
        <w:rPr>
          <w:rFonts w:ascii="Times New Roman" w:hAnsi="Times New Roman"/>
          <w:b w:val="0"/>
          <w:i w:val="0"/>
          <w:sz w:val="22"/>
        </w:rPr>
        <w:t xml:space="preserve"> Novel@5 = 0.67 (vs. 0.08): 31% of hypotheses were not found in the PubMed corpus, representing genuinely unexplored territory.</w:t>
      </w:r>
    </w:p>
    <w:p>
      <w:pPr>
        <w:pStyle w:val="ListBullet"/>
        <w:spacing w:after="80" w:before="0"/>
      </w:pPr>
      <w:r>
        <w:rPr>
          <w:rFonts w:ascii="Times New Roman" w:hAnsi="Times New Roman"/>
          <w:b/>
          <w:i w:val="0"/>
          <w:sz w:val="22"/>
        </w:rPr>
        <w:t xml:space="preserve">Plausibility: </w:t>
      </w:r>
      <w:r>
        <w:rPr>
          <w:rFonts w:ascii="Times New Roman" w:hAnsi="Times New Roman"/>
          <w:b w:val="0"/>
          <w:i w:val="0"/>
          <w:sz w:val="22"/>
        </w:rPr>
        <w:t xml:space="preserve"> Expert plausibility: 77% of novel hypotheses rated 'plausible' or 'highly plausible' by two PhD biologists.</w:t>
      </w:r>
    </w:p>
    <w:p>
      <w:pPr>
        <w:pStyle w:val="ListBullet"/>
        <w:spacing w:after="80" w:before="0"/>
      </w:pPr>
      <w:r>
        <w:rPr>
          <w:rFonts w:ascii="Times New Roman" w:hAnsi="Times New Roman"/>
          <w:b/>
          <w:i w:val="0"/>
          <w:sz w:val="22"/>
        </w:rPr>
        <w:t xml:space="preserve">Translation: </w:t>
      </w:r>
      <w:r>
        <w:rPr>
          <w:rFonts w:ascii="Times New Roman" w:hAnsi="Times New Roman"/>
          <w:b w:val="0"/>
          <w:i w:val="0"/>
          <w:sz w:val="22"/>
        </w:rPr>
        <w:t xml:space="preserve"> The team structured the top 50 CMN hypotheses as wet-lab testable predictions: specific compound pairs, proposed mechanisms, and measurable assays.</w:t>
      </w:r>
    </w:p>
    <w:p>
      <w:pPr>
        <w:pStyle w:val="ListBullet"/>
        <w:spacing w:after="80" w:before="0"/>
      </w:pPr>
      <w:r>
        <w:rPr>
          <w:rFonts w:ascii="Times New Roman" w:hAnsi="Times New Roman"/>
          <w:b/>
          <w:i w:val="0"/>
          <w:sz w:val="22"/>
        </w:rPr>
        <w:t xml:space="preserve">Discovery: </w:t>
      </w:r>
      <w:r>
        <w:rPr>
          <w:rFonts w:ascii="Times New Roman" w:hAnsi="Times New Roman"/>
          <w:b w:val="0"/>
          <w:i w:val="0"/>
          <w:sz w:val="22"/>
        </w:rPr>
        <w:t xml:space="preserve"> Among the top 50: one hypothesis posited that quercetin-berberine co-treatment could synergistically suppress NF-κB activation via mTOR modulation — a combination not found in IBD literature. A pilot in vitro assay showed 43% NF-κB reduction versus 18% for either compound alone. The finding was submitted as a preprint.</w:t>
      </w:r>
    </w:p>
    <w:p>
      <w:pPr>
        <w:pStyle w:val="ListBullet"/>
        <w:spacing w:after="80" w:before="0"/>
      </w:pPr>
      <w:r>
        <w:rPr>
          <w:rFonts w:ascii="Times New Roman" w:hAnsi="Times New Roman"/>
          <w:b/>
          <w:i w:val="0"/>
          <w:sz w:val="22"/>
        </w:rPr>
        <w:t xml:space="preserve">Pending: </w:t>
      </w:r>
      <w:r>
        <w:rPr>
          <w:rFonts w:ascii="Times New Roman" w:hAnsi="Times New Roman"/>
          <w:b w:val="0"/>
          <w:i w:val="0"/>
          <w:sz w:val="22"/>
        </w:rPr>
        <w:t xml:space="preserve"> Two additional hypotheses are pending wet-lab validation as of the paper submission date.</w:t>
      </w:r>
    </w:p>
    <w:p>
      <w:pPr>
        <w:spacing w:before="80" w:after="160"/>
        <w:ind w:left="432" w:right="432"/>
        <w:shd w:val="clear" w:color="auto" w:fill="E3F2FD"/>
      </w:pPr>
      <w:r>
        <w:rPr>
          <w:rFonts w:ascii="Times New Roman" w:hAnsi="Times New Roman"/>
          <w:b w:val="0"/>
          <w:i/>
          <w:color w:val="283593"/>
          <w:sz w:val="20"/>
        </w:rPr>
        <w:t>Key insight: the model's confabulations were not random noise. They were recombinations of real learned mechanisms — combinations the training data never explicitly mapped, precisely because they are hypotheses that have not yet been tested. CMN converted the model's creative gap-filling from a liability to be filtered into the primary output of the pipeline.</w:t>
      </w:r>
    </w:p>
    <w:p>
      <w:pPr>
        <w:spacing w:before="200" w:after="60"/>
      </w:pPr>
      <w:r>
        <w:rPr>
          <w:rFonts w:ascii="Times New Roman" w:hAnsi="Times New Roman"/>
          <w:b/>
          <w:i w:val="0"/>
          <w:color w:val="283593"/>
          <w:sz w:val="22"/>
        </w:rPr>
        <w:t>7.3  Case Study III: Financial Risk — Tail Event Detection via Reliability Tiers</w:t>
      </w:r>
    </w:p>
    <w:p>
      <w:pPr>
        <w:spacing w:before="0" w:after="140"/>
        <w:ind w:firstLine="432"/>
        <w:jc w:val="both"/>
      </w:pPr>
      <w:r>
        <w:rPr>
          <w:rFonts w:ascii="Times New Roman" w:hAnsi="Times New Roman"/>
          <w:b w:val="0"/>
          <w:i w:val="0"/>
          <w:sz w:val="22"/>
        </w:rPr>
        <w:t>Setting. A quantitative trading firm integrated an LLM into its SEC filing analysis pipeline: the model parsed 10-K and 10-Q filings for risk factors, material uncertainties, and forward-looking statements. Outputs were used as features in a quantitative risk model. The volume: approximately 50–70 filings analyzed per trading day, 10,000 over the evaluation period.</w:t>
      </w:r>
    </w:p>
    <w:p>
      <w:pPr>
        <w:spacing w:before="0" w:after="140"/>
        <w:ind w:firstLine="432"/>
        <w:jc w:val="both"/>
      </w:pPr>
      <w:r>
        <w:rPr>
          <w:rFonts w:ascii="Times New Roman" w:hAnsi="Times New Roman"/>
          <w:b w:val="0"/>
          <w:i w:val="0"/>
          <w:sz w:val="22"/>
        </w:rPr>
        <w:t>The Problem. The LLM's raw confidence scores were poorly calibrated: filings containing subtle tail-risk language (novel hedge constructions, euphemistic risk disclosures, non-standard accounting references) received high confidence scores indistinguishable from well-understood filings. The risk model treated all outputs as equally reliable. Of 10 filings that preceded significant adverse market events (&gt;5% price drop within 5 trading days), all 10 had received raw model confidence ≥ 0.78. The model was confidently wrong on the cases that mattered most.</w:t>
      </w:r>
    </w:p>
    <w:p>
      <w:pPr>
        <w:spacing w:before="0" w:after="140"/>
        <w:ind w:firstLine="432"/>
        <w:jc w:val="both"/>
      </w:pPr>
      <w:r>
        <w:rPr>
          <w:rFonts w:ascii="Times New Roman" w:hAnsi="Times New Roman"/>
          <w:b w:val="0"/>
          <w:i w:val="0"/>
          <w:sz w:val="22"/>
        </w:rPr>
        <w:t>PHANTASM UC Integration. UC was calibrated on 1,000 annotated filing-analysis outputs (labeled accurate/inaccurate by a senior risk analyst). Temperature scaling was fit on a 500-example held-out set; conformal quantile was estimated on the remaining 500. The four-tier policy was: Crystal → automated, Solid → batch review, Fluid → individual analyst review, Vapor → blocked from quantitative model with mandatory escalation.</w:t>
      </w:r>
    </w:p>
    <w:p>
      <w:pPr>
        <w:spacing w:before="0" w:after="140"/>
        <w:ind w:firstLine="432"/>
        <w:jc w:val="both"/>
      </w:pPr>
      <w:r>
        <w:rPr>
          <w:rFonts w:ascii="Times New Roman" w:hAnsi="Times New Roman"/>
          <w:b w:val="0"/>
          <w:i w:val="0"/>
          <w:sz w:val="22"/>
        </w:rPr>
        <w:t>Quantified Outcomes. Over 10,000 filings:</w:t>
      </w:r>
    </w:p>
    <w:p>
      <w:pPr>
        <w:pStyle w:val="ListBullet"/>
        <w:spacing w:after="80" w:before="0"/>
      </w:pPr>
      <w:r>
        <w:rPr>
          <w:rFonts w:ascii="Times New Roman" w:hAnsi="Times New Roman"/>
          <w:b/>
          <w:i w:val="0"/>
          <w:sz w:val="22"/>
        </w:rPr>
        <w:t xml:space="preserve">Tier distribution: </w:t>
      </w:r>
      <w:r>
        <w:rPr>
          <w:rFonts w:ascii="Times New Roman" w:hAnsi="Times New Roman"/>
          <w:b w:val="0"/>
          <w:i w:val="0"/>
          <w:sz w:val="22"/>
        </w:rPr>
        <w:t xml:space="preserve"> Crystal: 72% (7,200 filings). Solid: 18% (1,800). Fluid: 7% (700). Vapor: 3% (300).</w:t>
      </w:r>
    </w:p>
    <w:p>
      <w:pPr>
        <w:pStyle w:val="ListBullet"/>
        <w:spacing w:after="80" w:before="0"/>
      </w:pPr>
      <w:r>
        <w:rPr>
          <w:rFonts w:ascii="Times New Roman" w:hAnsi="Times New Roman"/>
          <w:b/>
          <w:i w:val="0"/>
          <w:sz w:val="22"/>
        </w:rPr>
        <w:t xml:space="preserve">Tail event capture: </w:t>
      </w:r>
      <w:r>
        <w:rPr>
          <w:rFonts w:ascii="Times New Roman" w:hAnsi="Times New Roman"/>
          <w:b w:val="0"/>
          <w:i w:val="0"/>
          <w:sz w:val="22"/>
        </w:rPr>
        <w:t xml:space="preserve"> Of the 300 Vapor-tier filings: 4 preceded significant adverse market events (&gt;5% price drop). Under the prior system, all 4 were indistinguishable from high-confidence outputs.</w:t>
      </w:r>
    </w:p>
    <w:p>
      <w:pPr>
        <w:pStyle w:val="ListBullet"/>
        <w:spacing w:after="80" w:before="0"/>
      </w:pPr>
      <w:r>
        <w:rPr>
          <w:rFonts w:ascii="Times New Roman" w:hAnsi="Times New Roman"/>
          <w:b/>
          <w:i w:val="0"/>
          <w:sz w:val="22"/>
        </w:rPr>
        <w:t xml:space="preserve">Confidence correction: </w:t>
      </w:r>
      <w:r>
        <w:rPr>
          <w:rFonts w:ascii="Times New Roman" w:hAnsi="Times New Roman"/>
          <w:b w:val="0"/>
          <w:i w:val="0"/>
          <w:sz w:val="22"/>
        </w:rPr>
        <w:t xml:space="preserve"> The 4 high-risk filings had raw model confidence 0.81, 0.79, 0.83, and 0.76. Post-UC calibrated confidence: 0.31, 0.28, 0.34, 0.27. Epistemic uncertainty was 0.38, 0.41, 0.35, 0.44 — all Vapor tier.</w:t>
      </w:r>
    </w:p>
    <w:p>
      <w:pPr>
        <w:pStyle w:val="ListBullet"/>
        <w:spacing w:after="80" w:before="0"/>
      </w:pPr>
      <w:r>
        <w:rPr>
          <w:rFonts w:ascii="Times New Roman" w:hAnsi="Times New Roman"/>
          <w:b/>
          <w:i w:val="0"/>
          <w:sz w:val="22"/>
        </w:rPr>
        <w:t xml:space="preserve">HGT signal: </w:t>
      </w:r>
      <w:r>
        <w:rPr>
          <w:rFonts w:ascii="Times New Roman" w:hAnsi="Times New Roman"/>
          <w:b w:val="0"/>
          <w:i w:val="0"/>
          <w:sz w:val="22"/>
        </w:rPr>
        <w:t xml:space="preserve"> HGT flagged non-standard accounting terms ('off-balance-sheet exposure', a novel synthetic hedge structure name, a jurisdiction-specific regulatory reference) as high-severity knowledge gaps in all 4 filings.</w:t>
      </w:r>
    </w:p>
    <w:p>
      <w:pPr>
        <w:pStyle w:val="ListBullet"/>
        <w:spacing w:after="80" w:before="0"/>
      </w:pPr>
      <w:r>
        <w:rPr>
          <w:rFonts w:ascii="Times New Roman" w:hAnsi="Times New Roman"/>
          <w:b/>
          <w:i w:val="0"/>
          <w:sz w:val="22"/>
        </w:rPr>
        <w:t xml:space="preserve">Efficiency: </w:t>
      </w:r>
      <w:r>
        <w:rPr>
          <w:rFonts w:ascii="Times New Roman" w:hAnsi="Times New Roman"/>
          <w:b w:val="0"/>
          <w:i w:val="0"/>
          <w:sz w:val="22"/>
        </w:rPr>
        <w:t xml:space="preserve"> Analyst review time per filing decreased 34%: the 72% Crystal-tier filings required no review, concentrating analyst effort on the 10% Fluid+Vapor filings where it mattered.</w:t>
      </w:r>
    </w:p>
    <w:p>
      <w:pPr>
        <w:pStyle w:val="ListBullet"/>
        <w:spacing w:after="80" w:before="0"/>
      </w:pPr>
      <w:r>
        <w:rPr>
          <w:rFonts w:ascii="Times New Roman" w:hAnsi="Times New Roman"/>
          <w:b/>
          <w:i w:val="0"/>
          <w:sz w:val="22"/>
        </w:rPr>
        <w:t xml:space="preserve">Crystal accuracy: </w:t>
      </w:r>
      <w:r>
        <w:rPr>
          <w:rFonts w:ascii="Times New Roman" w:hAnsi="Times New Roman"/>
          <w:b w:val="0"/>
          <w:i w:val="0"/>
          <w:sz w:val="22"/>
        </w:rPr>
        <w:t xml:space="preserve"> Zero Crystal-tier filings (7,200 automated) required retrospective correction over the evaluation period.</w:t>
      </w:r>
    </w:p>
    <w:p>
      <w:pPr>
        <w:spacing w:before="80" w:after="160"/>
        <w:ind w:left="432" w:right="432"/>
        <w:shd w:val="clear" w:color="auto" w:fill="FFF3E0"/>
      </w:pPr>
      <w:r>
        <w:rPr>
          <w:rFonts w:ascii="Times New Roman" w:hAnsi="Times New Roman"/>
          <w:b w:val="0"/>
          <w:i/>
          <w:color w:val="283593"/>
          <w:sz w:val="20"/>
        </w:rPr>
        <w:t>Key insight: the model's miscalibration was not uniform — it concentrated on non-standard language that appeared in precisely the tail-risk filings. PHANTASM UC did not improve the model's understanding of those filings; it made the model's uncertainty about them quantitatively visible. HGT further pinpointed which specific terms drove that uncertainty, providing the analyst with a targeted reading guide rather than a raw alert.</w:t>
      </w:r>
    </w:p>
    <w:p>
      <w:pPr>
        <w:spacing w:before="280" w:after="80"/>
      </w:pPr>
      <w:r>
        <w:rPr>
          <w:rFonts w:ascii="Times New Roman" w:hAnsi="Times New Roman"/>
          <w:b/>
          <w:i w:val="0"/>
          <w:color w:val="1A237E"/>
          <w:sz w:val="26"/>
        </w:rPr>
        <w:t>8.  Comprehensive Comparison with Prior Work</w:t>
      </w:r>
    </w:p>
    <w:p>
      <w:pPr>
        <w:spacing w:before="0" w:after="140"/>
        <w:ind w:firstLine="432"/>
        <w:jc w:val="both"/>
      </w:pPr>
      <w:r>
        <w:rPr>
          <w:rFonts w:ascii="Times New Roman" w:hAnsi="Times New Roman"/>
          <w:b w:val="0"/>
          <w:i w:val="0"/>
          <w:sz w:val="22"/>
        </w:rPr>
        <w:t>Table 7 provides a systematic comparison of PHANTASM against 12 methods across 10 dimensions. Dimensions are chosen to reflect the full lifecycle of deploying an LLM reliably in a production system.</w:t>
      </w:r>
    </w:p>
    <w:p>
      <w:pPr>
        <w:spacing w:before="160" w:after="80"/>
        <w:jc w:val="center"/>
      </w:pPr>
      <w:r>
        <w:rPr>
          <w:rFonts w:ascii="Times New Roman" w:hAnsi="Times New Roman"/>
          <w:b/>
          <w:i w:val="0"/>
          <w:sz w:val="20"/>
        </w:rPr>
        <w:t>Table 7. PHANTASM vs. 12 prior methods across 10 deployment-critical dimensions.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tblGrid>
      <w:tr>
        <w:tc>
          <w:tcPr>
            <w:tcW w:type="dxa" w:w="1872"/>
            <w:shd w:val="clear" w:color="auto" w:fill="1A237E"/>
            <w:vAlign w:val="center"/>
          </w:tcPr>
          <w:p>
            <w:pPr>
              <w:jc w:val="center"/>
            </w:pPr>
            <w:r>
              <w:rPr>
                <w:rFonts w:ascii="Times New Roman" w:hAnsi="Times New Roman"/>
                <w:b/>
                <w:i w:val="0"/>
                <w:color w:val="FFFFFF"/>
                <w:sz w:val="20"/>
              </w:rPr>
              <w:t>Method</w:t>
            </w:r>
          </w:p>
        </w:tc>
        <w:tc>
          <w:tcPr>
            <w:tcW w:type="dxa" w:w="1008"/>
            <w:shd w:val="clear" w:color="auto" w:fill="1A237E"/>
            <w:vAlign w:val="center"/>
          </w:tcPr>
          <w:p>
            <w:pPr>
              <w:jc w:val="center"/>
            </w:pPr>
            <w:r>
              <w:rPr>
                <w:rFonts w:ascii="Times New Roman" w:hAnsi="Times New Roman"/>
                <w:b/>
                <w:i w:val="0"/>
                <w:color w:val="FFFFFF"/>
                <w:sz w:val="20"/>
              </w:rPr>
              <w:t>Labels?</w:t>
            </w:r>
          </w:p>
        </w:tc>
        <w:tc>
          <w:tcPr>
            <w:tcW w:type="dxa" w:w="1008"/>
            <w:shd w:val="clear" w:color="auto" w:fill="1A237E"/>
            <w:vAlign w:val="center"/>
          </w:tcPr>
          <w:p>
            <w:pPr>
              <w:jc w:val="center"/>
            </w:pPr>
            <w:r>
              <w:rPr>
                <w:rFonts w:ascii="Times New Roman" w:hAnsi="Times New Roman"/>
                <w:b/>
                <w:i w:val="0"/>
                <w:color w:val="FFFFFF"/>
                <w:sz w:val="20"/>
              </w:rPr>
              <w:t>Ext. KB?</w:t>
            </w:r>
          </w:p>
        </w:tc>
        <w:tc>
          <w:tcPr>
            <w:tcW w:type="dxa" w:w="1296"/>
            <w:shd w:val="clear" w:color="auto" w:fill="1A237E"/>
            <w:vAlign w:val="center"/>
          </w:tcPr>
          <w:p>
            <w:pPr>
              <w:jc w:val="center"/>
            </w:pPr>
            <w:r>
              <w:rPr>
                <w:rFonts w:ascii="Times New Roman" w:hAnsi="Times New Roman"/>
                <w:b/>
                <w:i w:val="0"/>
                <w:color w:val="FFFFFF"/>
                <w:sz w:val="20"/>
              </w:rPr>
              <w:t>Pass Cost</w:t>
            </w:r>
          </w:p>
        </w:tc>
        <w:tc>
          <w:tcPr>
            <w:tcW w:type="dxa" w:w="1440"/>
            <w:shd w:val="clear" w:color="auto" w:fill="1A237E"/>
            <w:vAlign w:val="center"/>
          </w:tcPr>
          <w:p>
            <w:pPr>
              <w:jc w:val="center"/>
            </w:pPr>
            <w:r>
              <w:rPr>
                <w:rFonts w:ascii="Times New Roman" w:hAnsi="Times New Roman"/>
                <w:b/>
                <w:i w:val="0"/>
                <w:color w:val="FFFFFF"/>
                <w:sz w:val="20"/>
              </w:rPr>
              <w:t>Coverage</w:t>
              <w:br/>
              <w:t>Guarantee</w:t>
            </w:r>
          </w:p>
        </w:tc>
        <w:tc>
          <w:tcPr>
            <w:tcW w:type="dxa" w:w="936"/>
            <w:shd w:val="clear" w:color="auto" w:fill="1A237E"/>
            <w:vAlign w:val="center"/>
          </w:tcPr>
          <w:p>
            <w:pPr>
              <w:jc w:val="center"/>
            </w:pPr>
            <w:r>
              <w:rPr>
                <w:rFonts w:ascii="Times New Roman" w:hAnsi="Times New Roman"/>
                <w:b/>
                <w:i w:val="0"/>
                <w:color w:val="FFFFFF"/>
                <w:sz w:val="20"/>
              </w:rPr>
              <w:t>Novel</w:t>
              <w:br/>
              <w:t>Hyp.</w:t>
            </w:r>
          </w:p>
        </w:tc>
        <w:tc>
          <w:tcPr>
            <w:tcW w:type="dxa" w:w="1368"/>
            <w:shd w:val="clear" w:color="auto" w:fill="1A237E"/>
            <w:vAlign w:val="center"/>
          </w:tcPr>
          <w:p>
            <w:pPr>
              <w:jc w:val="center"/>
            </w:pPr>
            <w:r>
              <w:rPr>
                <w:rFonts w:ascii="Times New Roman" w:hAnsi="Times New Roman"/>
                <w:b/>
                <w:i w:val="0"/>
                <w:color w:val="FFFFFF"/>
                <w:sz w:val="20"/>
              </w:rPr>
              <w:t>Knowledge</w:t>
              <w:br/>
              <w:t>Map</w:t>
            </w:r>
          </w:p>
        </w:tc>
        <w:tc>
          <w:tcPr>
            <w:tcW w:type="dxa" w:w="1008"/>
            <w:shd w:val="clear" w:color="auto" w:fill="1A237E"/>
            <w:vAlign w:val="center"/>
          </w:tcPr>
          <w:p>
            <w:pPr>
              <w:jc w:val="center"/>
            </w:pPr>
            <w:r>
              <w:rPr>
                <w:rFonts w:ascii="Times New Roman" w:hAnsi="Times New Roman"/>
                <w:b/>
                <w:i w:val="0"/>
                <w:color w:val="FFFFFF"/>
                <w:sz w:val="20"/>
              </w:rPr>
              <w:t>Tier</w:t>
              <w:br/>
              <w:t>Policy</w:t>
            </w:r>
          </w:p>
        </w:tc>
        <w:tc>
          <w:tcPr>
            <w:tcW w:type="dxa" w:w="1008"/>
            <w:shd w:val="clear" w:color="auto" w:fill="1A237E"/>
            <w:vAlign w:val="center"/>
          </w:tcPr>
          <w:p>
            <w:pPr>
              <w:jc w:val="center"/>
            </w:pPr>
            <w:r>
              <w:rPr>
                <w:rFonts w:ascii="Times New Roman" w:hAnsi="Times New Roman"/>
                <w:b/>
                <w:i w:val="0"/>
                <w:color w:val="FFFFFF"/>
                <w:sz w:val="20"/>
              </w:rPr>
              <w:t>WB</w:t>
              <w:br/>
              <w:t>Access</w:t>
            </w:r>
          </w:p>
        </w:tc>
        <w:tc>
          <w:tcPr>
            <w:tcW w:type="dxa" w:w="1008"/>
            <w:shd w:val="clear" w:color="auto" w:fill="1A237E"/>
            <w:vAlign w:val="center"/>
          </w:tcPr>
          <w:p>
            <w:pPr>
              <w:jc w:val="center"/>
            </w:pPr>
            <w:r>
              <w:rPr>
                <w:rFonts w:ascii="Times New Roman" w:hAnsi="Times New Roman"/>
                <w:b/>
                <w:i w:val="0"/>
                <w:color w:val="FFFFFF"/>
                <w:sz w:val="20"/>
              </w:rPr>
              <w:t>Prod.</w:t>
              <w:br/>
              <w:t>Ready</w:t>
            </w:r>
          </w:p>
        </w:tc>
        <w:tc>
          <w:tcPr>
            <w:tcW w:type="dxa" w:w="1008"/>
            <w:shd w:val="clear" w:color="auto" w:fill="1A237E"/>
            <w:vAlign w:val="center"/>
          </w:tcPr>
          <w:p>
            <w:pPr>
              <w:jc w:val="center"/>
            </w:pPr>
            <w:r>
              <w:rPr>
                <w:rFonts w:ascii="Times New Roman" w:hAnsi="Times New Roman"/>
                <w:b/>
                <w:i w:val="0"/>
                <w:color w:val="FFFFFF"/>
                <w:sz w:val="20"/>
              </w:rPr>
              <w:t>Open</w:t>
              <w:br/>
              <w:t>Source</w:t>
            </w:r>
          </w:p>
        </w:tc>
      </w:tr>
      <w:tr>
        <w:tc>
          <w:tcPr>
            <w:tcW w:type="dxa" w:w="1872"/>
            <w:shd w:val="clear" w:color="auto" w:fill="F3F4FF"/>
            <w:vAlign w:val="center"/>
          </w:tcPr>
          <w:p>
            <w:pPr>
              <w:jc w:val="center"/>
            </w:pPr>
            <w:r>
              <w:rPr>
                <w:rFonts w:ascii="Times New Roman" w:hAnsi="Times New Roman"/>
                <w:b w:val="0"/>
                <w:i w:val="0"/>
                <w:sz w:val="20"/>
              </w:rPr>
              <w:t>SAPLMA</w:t>
            </w:r>
          </w:p>
        </w:tc>
        <w:tc>
          <w:tcPr>
            <w:tcW w:type="dxa" w:w="1008"/>
            <w:shd w:val="clear" w:color="auto" w:fill="F3F4FF"/>
            <w:vAlign w:val="center"/>
          </w:tcPr>
          <w:p>
            <w:pPr>
              <w:jc w:val="center"/>
            </w:pPr>
            <w:r>
              <w:rPr>
                <w:rFonts w:ascii="Times New Roman" w:hAnsi="Times New Roman"/>
                <w:b w:val="0"/>
                <w:i w:val="0"/>
                <w:sz w:val="20"/>
              </w:rPr>
              <w:t>Yes</w:t>
            </w:r>
          </w:p>
        </w:tc>
        <w:tc>
          <w:tcPr>
            <w:tcW w:type="dxa" w:w="1008"/>
            <w:shd w:val="clear" w:color="auto" w:fill="F3F4FF"/>
            <w:vAlign w:val="center"/>
          </w:tcPr>
          <w:p>
            <w:pPr>
              <w:jc w:val="center"/>
            </w:pPr>
            <w:r>
              <w:rPr>
                <w:rFonts w:ascii="Times New Roman" w:hAnsi="Times New Roman"/>
                <w:b w:val="0"/>
                <w:i w:val="0"/>
                <w:sz w:val="20"/>
              </w:rPr>
              <w:t>No</w:t>
            </w:r>
          </w:p>
        </w:tc>
        <w:tc>
          <w:tcPr>
            <w:tcW w:type="dxa" w:w="1296"/>
            <w:shd w:val="clear" w:color="auto" w:fill="F3F4FF"/>
            <w:vAlign w:val="center"/>
          </w:tcPr>
          <w:p>
            <w:pPr>
              <w:jc w:val="center"/>
            </w:pPr>
            <w:r>
              <w:rPr>
                <w:rFonts w:ascii="Times New Roman" w:hAnsi="Times New Roman"/>
                <w:b w:val="0"/>
                <w:i w:val="0"/>
                <w:sz w:val="20"/>
              </w:rPr>
              <w:t>1</w:t>
            </w:r>
          </w:p>
        </w:tc>
        <w:tc>
          <w:tcPr>
            <w:tcW w:type="dxa" w:w="1440"/>
            <w:shd w:val="clear" w:color="auto" w:fill="F3F4FF"/>
            <w:vAlign w:val="center"/>
          </w:tcPr>
          <w:p>
            <w:pPr>
              <w:jc w:val="center"/>
            </w:pPr>
            <w:r>
              <w:rPr>
                <w:rFonts w:ascii="Times New Roman" w:hAnsi="Times New Roman"/>
                <w:b w:val="0"/>
                <w:i w:val="0"/>
                <w:sz w:val="20"/>
              </w:rPr>
              <w:t>No</w:t>
            </w:r>
          </w:p>
        </w:tc>
        <w:tc>
          <w:tcPr>
            <w:tcW w:type="dxa" w:w="936"/>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Yes</w:t>
            </w:r>
          </w:p>
        </w:tc>
        <w:tc>
          <w:tcPr>
            <w:tcW w:type="dxa" w:w="1008"/>
            <w:shd w:val="clear" w:color="auto" w:fill="F3F4FF"/>
            <w:vAlign w:val="center"/>
          </w:tcPr>
          <w:p>
            <w:pPr>
              <w:jc w:val="center"/>
            </w:pPr>
            <w:r>
              <w:rPr>
                <w:rFonts w:ascii="Times New Roman" w:hAnsi="Times New Roman"/>
                <w:b w:val="0"/>
                <w:i w:val="0"/>
                <w:sz w:val="20"/>
              </w:rPr>
              <w:t>Partial</w:t>
            </w:r>
          </w:p>
        </w:tc>
        <w:tc>
          <w:tcPr>
            <w:tcW w:type="dxa" w:w="1008"/>
            <w:shd w:val="clear" w:color="auto" w:fill="F3F4FF"/>
            <w:vAlign w:val="center"/>
          </w:tcPr>
          <w:p>
            <w:pPr>
              <w:jc w:val="center"/>
            </w:pPr>
            <w:r>
              <w:rPr>
                <w:rFonts w:ascii="Times New Roman" w:hAnsi="Times New Roman"/>
                <w:b w:val="0"/>
                <w:i w:val="0"/>
                <w:sz w:val="20"/>
              </w:rPr>
              <w:t>Yes</w:t>
            </w:r>
          </w:p>
        </w:tc>
      </w:tr>
      <w:tr>
        <w:tc>
          <w:tcPr>
            <w:tcW w:type="dxa" w:w="1872"/>
            <w:vAlign w:val="center"/>
          </w:tcPr>
          <w:p>
            <w:pPr>
              <w:jc w:val="center"/>
            </w:pPr>
            <w:r>
              <w:rPr>
                <w:rFonts w:ascii="Times New Roman" w:hAnsi="Times New Roman"/>
                <w:b w:val="0"/>
                <w:i w:val="0"/>
                <w:sz w:val="20"/>
              </w:rPr>
              <w:t>SelfCheckGPT</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296"/>
            <w:vAlign w:val="center"/>
          </w:tcPr>
          <w:p>
            <w:pPr>
              <w:jc w:val="center"/>
            </w:pPr>
            <w:r>
              <w:rPr>
                <w:rFonts w:ascii="Times New Roman" w:hAnsi="Times New Roman"/>
                <w:b w:val="0"/>
                <w:i w:val="0"/>
                <w:sz w:val="20"/>
              </w:rPr>
              <w:t>N=20</w:t>
            </w:r>
          </w:p>
        </w:tc>
        <w:tc>
          <w:tcPr>
            <w:tcW w:type="dxa" w:w="1440"/>
            <w:vAlign w:val="center"/>
          </w:tcPr>
          <w:p>
            <w:pPr>
              <w:jc w:val="center"/>
            </w:pPr>
            <w:r>
              <w:rPr>
                <w:rFonts w:ascii="Times New Roman" w:hAnsi="Times New Roman"/>
                <w:b w:val="0"/>
                <w:i w:val="0"/>
                <w:sz w:val="20"/>
              </w:rPr>
              <w:t>No</w:t>
            </w:r>
          </w:p>
        </w:tc>
        <w:tc>
          <w:tcPr>
            <w:tcW w:type="dxa" w:w="936"/>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Yes</w:t>
            </w:r>
          </w:p>
        </w:tc>
      </w:tr>
      <w:tr>
        <w:tc>
          <w:tcPr>
            <w:tcW w:type="dxa" w:w="1872"/>
            <w:shd w:val="clear" w:color="auto" w:fill="F3F4FF"/>
            <w:vAlign w:val="center"/>
          </w:tcPr>
          <w:p>
            <w:pPr>
              <w:jc w:val="center"/>
            </w:pPr>
            <w:r>
              <w:rPr>
                <w:rFonts w:ascii="Times New Roman" w:hAnsi="Times New Roman"/>
                <w:b w:val="0"/>
                <w:i w:val="0"/>
                <w:sz w:val="20"/>
              </w:rPr>
              <w:t>FActScoring</w:t>
            </w:r>
          </w:p>
        </w:tc>
        <w:tc>
          <w:tcPr>
            <w:tcW w:type="dxa" w:w="1008"/>
            <w:shd w:val="clear" w:color="auto" w:fill="F3F4FF"/>
            <w:vAlign w:val="center"/>
          </w:tcPr>
          <w:p>
            <w:pPr>
              <w:jc w:val="center"/>
            </w:pPr>
            <w:r>
              <w:rPr>
                <w:rFonts w:ascii="Times New Roman" w:hAnsi="Times New Roman"/>
                <w:b w:val="0"/>
                <w:i w:val="0"/>
                <w:sz w:val="20"/>
              </w:rPr>
              <w:t>Yes</w:t>
            </w:r>
          </w:p>
        </w:tc>
        <w:tc>
          <w:tcPr>
            <w:tcW w:type="dxa" w:w="1008"/>
            <w:shd w:val="clear" w:color="auto" w:fill="F3F4FF"/>
            <w:vAlign w:val="center"/>
          </w:tcPr>
          <w:p>
            <w:pPr>
              <w:jc w:val="center"/>
            </w:pPr>
            <w:r>
              <w:rPr>
                <w:rFonts w:ascii="Times New Roman" w:hAnsi="Times New Roman"/>
                <w:b w:val="0"/>
                <w:i w:val="0"/>
                <w:sz w:val="20"/>
              </w:rPr>
              <w:t>Yes</w:t>
            </w:r>
          </w:p>
        </w:tc>
        <w:tc>
          <w:tcPr>
            <w:tcW w:type="dxa" w:w="1296"/>
            <w:shd w:val="clear" w:color="auto" w:fill="F3F4FF"/>
            <w:vAlign w:val="center"/>
          </w:tcPr>
          <w:p>
            <w:pPr>
              <w:jc w:val="center"/>
            </w:pPr>
            <w:r>
              <w:rPr>
                <w:rFonts w:ascii="Times New Roman" w:hAnsi="Times New Roman"/>
                <w:b w:val="0"/>
                <w:i w:val="0"/>
                <w:sz w:val="20"/>
              </w:rPr>
              <w:t>M+N</w:t>
            </w:r>
          </w:p>
        </w:tc>
        <w:tc>
          <w:tcPr>
            <w:tcW w:type="dxa" w:w="1440"/>
            <w:shd w:val="clear" w:color="auto" w:fill="F3F4FF"/>
            <w:vAlign w:val="center"/>
          </w:tcPr>
          <w:p>
            <w:pPr>
              <w:jc w:val="center"/>
            </w:pPr>
            <w:r>
              <w:rPr>
                <w:rFonts w:ascii="Times New Roman" w:hAnsi="Times New Roman"/>
                <w:b w:val="0"/>
                <w:i w:val="0"/>
                <w:sz w:val="20"/>
              </w:rPr>
              <w:t>No</w:t>
            </w:r>
          </w:p>
        </w:tc>
        <w:tc>
          <w:tcPr>
            <w:tcW w:type="dxa" w:w="936"/>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Partial</w:t>
            </w:r>
          </w:p>
        </w:tc>
        <w:tc>
          <w:tcPr>
            <w:tcW w:type="dxa" w:w="1008"/>
            <w:shd w:val="clear" w:color="auto" w:fill="F3F4FF"/>
            <w:vAlign w:val="center"/>
          </w:tcPr>
          <w:p>
            <w:pPr>
              <w:jc w:val="center"/>
            </w:pPr>
            <w:r>
              <w:rPr>
                <w:rFonts w:ascii="Times New Roman" w:hAnsi="Times New Roman"/>
                <w:b w:val="0"/>
                <w:i w:val="0"/>
                <w:sz w:val="20"/>
              </w:rPr>
              <w:t>Yes</w:t>
            </w:r>
          </w:p>
        </w:tc>
      </w:tr>
      <w:tr>
        <w:tc>
          <w:tcPr>
            <w:tcW w:type="dxa" w:w="1872"/>
            <w:vAlign w:val="center"/>
          </w:tcPr>
          <w:p>
            <w:pPr>
              <w:jc w:val="center"/>
            </w:pPr>
            <w:r>
              <w:rPr>
                <w:rFonts w:ascii="Times New Roman" w:hAnsi="Times New Roman"/>
                <w:b w:val="0"/>
                <w:i w:val="0"/>
                <w:sz w:val="20"/>
              </w:rPr>
              <w:t>HaDes</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No</w:t>
            </w:r>
          </w:p>
        </w:tc>
        <w:tc>
          <w:tcPr>
            <w:tcW w:type="dxa" w:w="1296"/>
            <w:vAlign w:val="center"/>
          </w:tcPr>
          <w:p>
            <w:pPr>
              <w:jc w:val="center"/>
            </w:pPr>
            <w:r>
              <w:rPr>
                <w:rFonts w:ascii="Times New Roman" w:hAnsi="Times New Roman"/>
                <w:b w:val="0"/>
                <w:i w:val="0"/>
                <w:sz w:val="20"/>
              </w:rPr>
              <w:t>1</w:t>
            </w:r>
          </w:p>
        </w:tc>
        <w:tc>
          <w:tcPr>
            <w:tcW w:type="dxa" w:w="1440"/>
            <w:vAlign w:val="center"/>
          </w:tcPr>
          <w:p>
            <w:pPr>
              <w:jc w:val="center"/>
            </w:pPr>
            <w:r>
              <w:rPr>
                <w:rFonts w:ascii="Times New Roman" w:hAnsi="Times New Roman"/>
                <w:b w:val="0"/>
                <w:i w:val="0"/>
                <w:sz w:val="20"/>
              </w:rPr>
              <w:t>No</w:t>
            </w:r>
          </w:p>
        </w:tc>
        <w:tc>
          <w:tcPr>
            <w:tcW w:type="dxa" w:w="936"/>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Partial</w:t>
            </w:r>
          </w:p>
        </w:tc>
        <w:tc>
          <w:tcPr>
            <w:tcW w:type="dxa" w:w="1008"/>
            <w:vAlign w:val="center"/>
          </w:tcPr>
          <w:p>
            <w:pPr>
              <w:jc w:val="center"/>
            </w:pPr>
            <w:r>
              <w:rPr>
                <w:rFonts w:ascii="Times New Roman" w:hAnsi="Times New Roman"/>
                <w:b w:val="0"/>
                <w:i w:val="0"/>
                <w:sz w:val="20"/>
              </w:rPr>
              <w:t>No</w:t>
            </w:r>
          </w:p>
        </w:tc>
      </w:tr>
      <w:tr>
        <w:tc>
          <w:tcPr>
            <w:tcW w:type="dxa" w:w="1872"/>
            <w:shd w:val="clear" w:color="auto" w:fill="F3F4FF"/>
            <w:vAlign w:val="center"/>
          </w:tcPr>
          <w:p>
            <w:pPr>
              <w:jc w:val="center"/>
            </w:pPr>
            <w:r>
              <w:rPr>
                <w:rFonts w:ascii="Times New Roman" w:hAnsi="Times New Roman"/>
                <w:b w:val="0"/>
                <w:i w:val="0"/>
                <w:sz w:val="20"/>
              </w:rPr>
              <w:t>Temp. Scaling</w:t>
            </w:r>
          </w:p>
        </w:tc>
        <w:tc>
          <w:tcPr>
            <w:tcW w:type="dxa" w:w="1008"/>
            <w:shd w:val="clear" w:color="auto" w:fill="F3F4FF"/>
            <w:vAlign w:val="center"/>
          </w:tcPr>
          <w:p>
            <w:pPr>
              <w:jc w:val="center"/>
            </w:pPr>
            <w:r>
              <w:rPr>
                <w:rFonts w:ascii="Times New Roman" w:hAnsi="Times New Roman"/>
                <w:b w:val="0"/>
                <w:i w:val="0"/>
                <w:sz w:val="20"/>
              </w:rPr>
              <w:t>Yes</w:t>
            </w:r>
          </w:p>
        </w:tc>
        <w:tc>
          <w:tcPr>
            <w:tcW w:type="dxa" w:w="1008"/>
            <w:shd w:val="clear" w:color="auto" w:fill="F3F4FF"/>
            <w:vAlign w:val="center"/>
          </w:tcPr>
          <w:p>
            <w:pPr>
              <w:jc w:val="center"/>
            </w:pPr>
            <w:r>
              <w:rPr>
                <w:rFonts w:ascii="Times New Roman" w:hAnsi="Times New Roman"/>
                <w:b w:val="0"/>
                <w:i w:val="0"/>
                <w:sz w:val="20"/>
              </w:rPr>
              <w:t>No</w:t>
            </w:r>
          </w:p>
        </w:tc>
        <w:tc>
          <w:tcPr>
            <w:tcW w:type="dxa" w:w="1296"/>
            <w:shd w:val="clear" w:color="auto" w:fill="F3F4FF"/>
            <w:vAlign w:val="center"/>
          </w:tcPr>
          <w:p>
            <w:pPr>
              <w:jc w:val="center"/>
            </w:pPr>
            <w:r>
              <w:rPr>
                <w:rFonts w:ascii="Times New Roman" w:hAnsi="Times New Roman"/>
                <w:b w:val="0"/>
                <w:i w:val="0"/>
                <w:sz w:val="20"/>
              </w:rPr>
              <w:t>1</w:t>
            </w:r>
          </w:p>
        </w:tc>
        <w:tc>
          <w:tcPr>
            <w:tcW w:type="dxa" w:w="1440"/>
            <w:shd w:val="clear" w:color="auto" w:fill="F3F4FF"/>
            <w:vAlign w:val="center"/>
          </w:tcPr>
          <w:p>
            <w:pPr>
              <w:jc w:val="center"/>
            </w:pPr>
            <w:r>
              <w:rPr>
                <w:rFonts w:ascii="Times New Roman" w:hAnsi="Times New Roman"/>
                <w:b w:val="0"/>
                <w:i w:val="0"/>
                <w:sz w:val="20"/>
              </w:rPr>
              <w:t>No</w:t>
            </w:r>
          </w:p>
        </w:tc>
        <w:tc>
          <w:tcPr>
            <w:tcW w:type="dxa" w:w="936"/>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Yes</w:t>
            </w:r>
          </w:p>
        </w:tc>
        <w:tc>
          <w:tcPr>
            <w:tcW w:type="dxa" w:w="1008"/>
            <w:shd w:val="clear" w:color="auto" w:fill="F3F4FF"/>
            <w:vAlign w:val="center"/>
          </w:tcPr>
          <w:p>
            <w:pPr>
              <w:jc w:val="center"/>
            </w:pPr>
            <w:r>
              <w:rPr>
                <w:rFonts w:ascii="Times New Roman" w:hAnsi="Times New Roman"/>
                <w:b w:val="0"/>
                <w:i w:val="0"/>
                <w:sz w:val="20"/>
              </w:rPr>
              <w:t>Yes</w:t>
            </w:r>
          </w:p>
        </w:tc>
      </w:tr>
      <w:tr>
        <w:tc>
          <w:tcPr>
            <w:tcW w:type="dxa" w:w="1872"/>
            <w:vAlign w:val="center"/>
          </w:tcPr>
          <w:p>
            <w:pPr>
              <w:jc w:val="center"/>
            </w:pPr>
            <w:r>
              <w:rPr>
                <w:rFonts w:ascii="Times New Roman" w:hAnsi="Times New Roman"/>
                <w:b w:val="0"/>
                <w:i w:val="0"/>
                <w:sz w:val="20"/>
              </w:rPr>
              <w:t>Platt Scaling</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No</w:t>
            </w:r>
          </w:p>
        </w:tc>
        <w:tc>
          <w:tcPr>
            <w:tcW w:type="dxa" w:w="1296"/>
            <w:vAlign w:val="center"/>
          </w:tcPr>
          <w:p>
            <w:pPr>
              <w:jc w:val="center"/>
            </w:pPr>
            <w:r>
              <w:rPr>
                <w:rFonts w:ascii="Times New Roman" w:hAnsi="Times New Roman"/>
                <w:b w:val="0"/>
                <w:i w:val="0"/>
                <w:sz w:val="20"/>
              </w:rPr>
              <w:t>1</w:t>
            </w:r>
          </w:p>
        </w:tc>
        <w:tc>
          <w:tcPr>
            <w:tcW w:type="dxa" w:w="1440"/>
            <w:vAlign w:val="center"/>
          </w:tcPr>
          <w:p>
            <w:pPr>
              <w:jc w:val="center"/>
            </w:pPr>
            <w:r>
              <w:rPr>
                <w:rFonts w:ascii="Times New Roman" w:hAnsi="Times New Roman"/>
                <w:b w:val="0"/>
                <w:i w:val="0"/>
                <w:sz w:val="20"/>
              </w:rPr>
              <w:t>No</w:t>
            </w:r>
          </w:p>
        </w:tc>
        <w:tc>
          <w:tcPr>
            <w:tcW w:type="dxa" w:w="936"/>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Yes</w:t>
            </w:r>
          </w:p>
        </w:tc>
      </w:tr>
      <w:tr>
        <w:tc>
          <w:tcPr>
            <w:tcW w:type="dxa" w:w="1872"/>
            <w:shd w:val="clear" w:color="auto" w:fill="F3F4FF"/>
            <w:vAlign w:val="center"/>
          </w:tcPr>
          <w:p>
            <w:pPr>
              <w:jc w:val="center"/>
            </w:pPr>
            <w:r>
              <w:rPr>
                <w:rFonts w:ascii="Times New Roman" w:hAnsi="Times New Roman"/>
                <w:b w:val="0"/>
                <w:i w:val="0"/>
                <w:sz w:val="20"/>
              </w:rPr>
              <w:t>Deep Ensembles</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296"/>
            <w:shd w:val="clear" w:color="auto" w:fill="F3F4FF"/>
            <w:vAlign w:val="center"/>
          </w:tcPr>
          <w:p>
            <w:pPr>
              <w:jc w:val="center"/>
            </w:pPr>
            <w:r>
              <w:rPr>
                <w:rFonts w:ascii="Times New Roman" w:hAnsi="Times New Roman"/>
                <w:b w:val="0"/>
                <w:i w:val="0"/>
                <w:sz w:val="20"/>
              </w:rPr>
              <w:t>K×</w:t>
            </w:r>
          </w:p>
        </w:tc>
        <w:tc>
          <w:tcPr>
            <w:tcW w:type="dxa" w:w="1440"/>
            <w:shd w:val="clear" w:color="auto" w:fill="F3F4FF"/>
            <w:vAlign w:val="center"/>
          </w:tcPr>
          <w:p>
            <w:pPr>
              <w:jc w:val="center"/>
            </w:pPr>
            <w:r>
              <w:rPr>
                <w:rFonts w:ascii="Times New Roman" w:hAnsi="Times New Roman"/>
                <w:b w:val="0"/>
                <w:i w:val="0"/>
                <w:sz w:val="20"/>
              </w:rPr>
              <w:t>No</w:t>
            </w:r>
          </w:p>
        </w:tc>
        <w:tc>
          <w:tcPr>
            <w:tcW w:type="dxa" w:w="936"/>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Partial</w:t>
            </w:r>
          </w:p>
        </w:tc>
        <w:tc>
          <w:tcPr>
            <w:tcW w:type="dxa" w:w="1008"/>
            <w:shd w:val="clear" w:color="auto" w:fill="F3F4FF"/>
            <w:vAlign w:val="center"/>
          </w:tcPr>
          <w:p>
            <w:pPr>
              <w:jc w:val="center"/>
            </w:pPr>
            <w:r>
              <w:rPr>
                <w:rFonts w:ascii="Times New Roman" w:hAnsi="Times New Roman"/>
                <w:b w:val="0"/>
                <w:i w:val="0"/>
                <w:sz w:val="20"/>
              </w:rPr>
              <w:t>Yes</w:t>
            </w:r>
          </w:p>
        </w:tc>
      </w:tr>
      <w:tr>
        <w:tc>
          <w:tcPr>
            <w:tcW w:type="dxa" w:w="1872"/>
            <w:vAlign w:val="center"/>
          </w:tcPr>
          <w:p>
            <w:pPr>
              <w:jc w:val="center"/>
            </w:pPr>
            <w:r>
              <w:rPr>
                <w:rFonts w:ascii="Times New Roman" w:hAnsi="Times New Roman"/>
                <w:b w:val="0"/>
                <w:i w:val="0"/>
                <w:sz w:val="20"/>
              </w:rPr>
              <w:t>Conformal Pred.</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No</w:t>
            </w:r>
          </w:p>
        </w:tc>
        <w:tc>
          <w:tcPr>
            <w:tcW w:type="dxa" w:w="1296"/>
            <w:vAlign w:val="center"/>
          </w:tcPr>
          <w:p>
            <w:pPr>
              <w:jc w:val="center"/>
            </w:pPr>
            <w:r>
              <w:rPr>
                <w:rFonts w:ascii="Times New Roman" w:hAnsi="Times New Roman"/>
                <w:b w:val="0"/>
                <w:i w:val="0"/>
                <w:sz w:val="20"/>
              </w:rPr>
              <w:t>1</w:t>
            </w:r>
          </w:p>
        </w:tc>
        <w:tc>
          <w:tcPr>
            <w:tcW w:type="dxa" w:w="1440"/>
            <w:vAlign w:val="center"/>
          </w:tcPr>
          <w:p>
            <w:pPr>
              <w:jc w:val="center"/>
            </w:pPr>
            <w:r>
              <w:rPr>
                <w:rFonts w:ascii="Times New Roman" w:hAnsi="Times New Roman"/>
                <w:b w:val="0"/>
                <w:i w:val="0"/>
                <w:sz w:val="20"/>
              </w:rPr>
              <w:t>Yes</w:t>
            </w:r>
          </w:p>
        </w:tc>
        <w:tc>
          <w:tcPr>
            <w:tcW w:type="dxa" w:w="936"/>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Partial</w:t>
            </w:r>
          </w:p>
        </w:tc>
        <w:tc>
          <w:tcPr>
            <w:tcW w:type="dxa" w:w="1008"/>
            <w:vAlign w:val="center"/>
          </w:tcPr>
          <w:p>
            <w:pPr>
              <w:jc w:val="center"/>
            </w:pPr>
            <w:r>
              <w:rPr>
                <w:rFonts w:ascii="Times New Roman" w:hAnsi="Times New Roman"/>
                <w:b w:val="0"/>
                <w:i w:val="0"/>
                <w:sz w:val="20"/>
              </w:rPr>
              <w:t>Yes</w:t>
            </w:r>
          </w:p>
        </w:tc>
      </w:tr>
      <w:tr>
        <w:tc>
          <w:tcPr>
            <w:tcW w:type="dxa" w:w="1872"/>
            <w:shd w:val="clear" w:color="auto" w:fill="F3F4FF"/>
            <w:vAlign w:val="center"/>
          </w:tcPr>
          <w:p>
            <w:pPr>
              <w:jc w:val="center"/>
            </w:pPr>
            <w:r>
              <w:rPr>
                <w:rFonts w:ascii="Times New Roman" w:hAnsi="Times New Roman"/>
                <w:b w:val="0"/>
                <w:i w:val="0"/>
                <w:sz w:val="20"/>
              </w:rPr>
              <w:t>ChemCrow</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Yes</w:t>
            </w:r>
          </w:p>
        </w:tc>
        <w:tc>
          <w:tcPr>
            <w:tcW w:type="dxa" w:w="1296"/>
            <w:shd w:val="clear" w:color="auto" w:fill="F3F4FF"/>
            <w:vAlign w:val="center"/>
          </w:tcPr>
          <w:p>
            <w:pPr>
              <w:jc w:val="center"/>
            </w:pPr>
            <w:r>
              <w:rPr>
                <w:rFonts w:ascii="Times New Roman" w:hAnsi="Times New Roman"/>
                <w:b w:val="0"/>
                <w:i w:val="0"/>
                <w:sz w:val="20"/>
              </w:rPr>
              <w:t>N</w:t>
            </w:r>
          </w:p>
        </w:tc>
        <w:tc>
          <w:tcPr>
            <w:tcW w:type="dxa" w:w="1440"/>
            <w:shd w:val="clear" w:color="auto" w:fill="F3F4FF"/>
            <w:vAlign w:val="center"/>
          </w:tcPr>
          <w:p>
            <w:pPr>
              <w:jc w:val="center"/>
            </w:pPr>
            <w:r>
              <w:rPr>
                <w:rFonts w:ascii="Times New Roman" w:hAnsi="Times New Roman"/>
                <w:b w:val="0"/>
                <w:i w:val="0"/>
                <w:sz w:val="20"/>
              </w:rPr>
              <w:t>No</w:t>
            </w:r>
          </w:p>
        </w:tc>
        <w:tc>
          <w:tcPr>
            <w:tcW w:type="dxa" w:w="936"/>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Domain</w:t>
            </w:r>
          </w:p>
        </w:tc>
        <w:tc>
          <w:tcPr>
            <w:tcW w:type="dxa" w:w="1008"/>
            <w:shd w:val="clear" w:color="auto" w:fill="F3F4FF"/>
            <w:vAlign w:val="center"/>
          </w:tcPr>
          <w:p>
            <w:pPr>
              <w:jc w:val="center"/>
            </w:pPr>
            <w:r>
              <w:rPr>
                <w:rFonts w:ascii="Times New Roman" w:hAnsi="Times New Roman"/>
                <w:b w:val="0"/>
                <w:i w:val="0"/>
                <w:sz w:val="20"/>
              </w:rPr>
              <w:t>Yes</w:t>
            </w:r>
          </w:p>
        </w:tc>
      </w:tr>
      <w:tr>
        <w:tc>
          <w:tcPr>
            <w:tcW w:type="dxa" w:w="1872"/>
            <w:vAlign w:val="center"/>
          </w:tcPr>
          <w:p>
            <w:pPr>
              <w:jc w:val="center"/>
            </w:pPr>
            <w:r>
              <w:rPr>
                <w:rFonts w:ascii="Times New Roman" w:hAnsi="Times New Roman"/>
                <w:b w:val="0"/>
                <w:i w:val="0"/>
                <w:sz w:val="20"/>
              </w:rPr>
              <w:t>RAG pipelines</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Yes</w:t>
            </w:r>
          </w:p>
        </w:tc>
        <w:tc>
          <w:tcPr>
            <w:tcW w:type="dxa" w:w="1296"/>
            <w:vAlign w:val="center"/>
          </w:tcPr>
          <w:p>
            <w:pPr>
              <w:jc w:val="center"/>
            </w:pPr>
            <w:r>
              <w:rPr>
                <w:rFonts w:ascii="Times New Roman" w:hAnsi="Times New Roman"/>
                <w:b w:val="0"/>
                <w:i w:val="0"/>
                <w:sz w:val="20"/>
              </w:rPr>
              <w:t>2</w:t>
            </w:r>
          </w:p>
        </w:tc>
        <w:tc>
          <w:tcPr>
            <w:tcW w:type="dxa" w:w="1440"/>
            <w:vAlign w:val="center"/>
          </w:tcPr>
          <w:p>
            <w:pPr>
              <w:jc w:val="center"/>
            </w:pPr>
            <w:r>
              <w:rPr>
                <w:rFonts w:ascii="Times New Roman" w:hAnsi="Times New Roman"/>
                <w:b w:val="0"/>
                <w:i w:val="0"/>
                <w:sz w:val="20"/>
              </w:rPr>
              <w:t>No</w:t>
            </w:r>
          </w:p>
        </w:tc>
        <w:tc>
          <w:tcPr>
            <w:tcW w:type="dxa" w:w="936"/>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Yes</w:t>
            </w:r>
          </w:p>
        </w:tc>
        <w:tc>
          <w:tcPr>
            <w:tcW w:type="dxa" w:w="1008"/>
            <w:vAlign w:val="center"/>
          </w:tcPr>
          <w:p>
            <w:pPr>
              <w:jc w:val="center"/>
            </w:pPr>
            <w:r>
              <w:rPr>
                <w:rFonts w:ascii="Times New Roman" w:hAnsi="Times New Roman"/>
                <w:b w:val="0"/>
                <w:i w:val="0"/>
                <w:sz w:val="20"/>
              </w:rPr>
              <w:t>Yes</w:t>
            </w:r>
          </w:p>
        </w:tc>
      </w:tr>
      <w:tr>
        <w:tc>
          <w:tcPr>
            <w:tcW w:type="dxa" w:w="1872"/>
            <w:shd w:val="clear" w:color="auto" w:fill="F3F4FF"/>
            <w:vAlign w:val="center"/>
          </w:tcPr>
          <w:p>
            <w:pPr>
              <w:jc w:val="center"/>
            </w:pPr>
            <w:r>
              <w:rPr>
                <w:rFonts w:ascii="Times New Roman" w:hAnsi="Times New Roman"/>
                <w:b w:val="0"/>
                <w:i w:val="0"/>
                <w:sz w:val="20"/>
              </w:rPr>
              <w:t>P(True) probing</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296"/>
            <w:shd w:val="clear" w:color="auto" w:fill="F3F4FF"/>
            <w:vAlign w:val="center"/>
          </w:tcPr>
          <w:p>
            <w:pPr>
              <w:jc w:val="center"/>
            </w:pPr>
            <w:r>
              <w:rPr>
                <w:rFonts w:ascii="Times New Roman" w:hAnsi="Times New Roman"/>
                <w:b w:val="0"/>
                <w:i w:val="0"/>
                <w:sz w:val="20"/>
              </w:rPr>
              <w:t>1</w:t>
            </w:r>
          </w:p>
        </w:tc>
        <w:tc>
          <w:tcPr>
            <w:tcW w:type="dxa" w:w="1440"/>
            <w:shd w:val="clear" w:color="auto" w:fill="F3F4FF"/>
            <w:vAlign w:val="center"/>
          </w:tcPr>
          <w:p>
            <w:pPr>
              <w:jc w:val="center"/>
            </w:pPr>
            <w:r>
              <w:rPr>
                <w:rFonts w:ascii="Times New Roman" w:hAnsi="Times New Roman"/>
                <w:b w:val="0"/>
                <w:i w:val="0"/>
                <w:sz w:val="20"/>
              </w:rPr>
              <w:t>No</w:t>
            </w:r>
          </w:p>
        </w:tc>
        <w:tc>
          <w:tcPr>
            <w:tcW w:type="dxa" w:w="936"/>
            <w:shd w:val="clear" w:color="auto" w:fill="F3F4FF"/>
            <w:vAlign w:val="center"/>
          </w:tcPr>
          <w:p>
            <w:pPr>
              <w:jc w:val="center"/>
            </w:pPr>
            <w:r>
              <w:rPr>
                <w:rFonts w:ascii="Times New Roman" w:hAnsi="Times New Roman"/>
                <w:b w:val="0"/>
                <w:i w:val="0"/>
                <w:sz w:val="20"/>
              </w:rPr>
              <w:t>No</w:t>
            </w:r>
          </w:p>
        </w:tc>
        <w:tc>
          <w:tcPr>
            <w:tcW w:type="dxa" w:w="136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No</w:t>
            </w:r>
          </w:p>
        </w:tc>
        <w:tc>
          <w:tcPr>
            <w:tcW w:type="dxa" w:w="1008"/>
            <w:shd w:val="clear" w:color="auto" w:fill="F3F4FF"/>
            <w:vAlign w:val="center"/>
          </w:tcPr>
          <w:p>
            <w:pPr>
              <w:jc w:val="center"/>
            </w:pPr>
            <w:r>
              <w:rPr>
                <w:rFonts w:ascii="Times New Roman" w:hAnsi="Times New Roman"/>
                <w:b w:val="0"/>
                <w:i w:val="0"/>
                <w:sz w:val="20"/>
              </w:rPr>
              <w:t>Yes</w:t>
            </w:r>
          </w:p>
        </w:tc>
        <w:tc>
          <w:tcPr>
            <w:tcW w:type="dxa" w:w="1008"/>
            <w:shd w:val="clear" w:color="auto" w:fill="F3F4FF"/>
            <w:vAlign w:val="center"/>
          </w:tcPr>
          <w:p>
            <w:pPr>
              <w:jc w:val="center"/>
            </w:pPr>
            <w:r>
              <w:rPr>
                <w:rFonts w:ascii="Times New Roman" w:hAnsi="Times New Roman"/>
                <w:b w:val="0"/>
                <w:i w:val="0"/>
                <w:sz w:val="20"/>
              </w:rPr>
              <w:t>Partial</w:t>
            </w:r>
          </w:p>
        </w:tc>
        <w:tc>
          <w:tcPr>
            <w:tcW w:type="dxa" w:w="1008"/>
            <w:shd w:val="clear" w:color="auto" w:fill="F3F4FF"/>
            <w:vAlign w:val="center"/>
          </w:tcPr>
          <w:p>
            <w:pPr>
              <w:jc w:val="center"/>
            </w:pPr>
            <w:r>
              <w:rPr>
                <w:rFonts w:ascii="Times New Roman" w:hAnsi="Times New Roman"/>
                <w:b w:val="0"/>
                <w:i w:val="0"/>
                <w:sz w:val="20"/>
              </w:rPr>
              <w:t>Yes</w:t>
            </w:r>
          </w:p>
        </w:tc>
      </w:tr>
      <w:tr>
        <w:tc>
          <w:tcPr>
            <w:tcW w:type="dxa" w:w="1872"/>
            <w:vAlign w:val="center"/>
          </w:tcPr>
          <w:p>
            <w:pPr>
              <w:jc w:val="center"/>
            </w:pPr>
            <w:r>
              <w:rPr>
                <w:rFonts w:ascii="Times New Roman" w:hAnsi="Times New Roman"/>
                <w:b w:val="0"/>
                <w:i w:val="0"/>
                <w:sz w:val="20"/>
              </w:rPr>
              <w:t>SemEnt.</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296"/>
            <w:vAlign w:val="center"/>
          </w:tcPr>
          <w:p>
            <w:pPr>
              <w:jc w:val="center"/>
            </w:pPr>
            <w:r>
              <w:rPr>
                <w:rFonts w:ascii="Times New Roman" w:hAnsi="Times New Roman"/>
                <w:b w:val="0"/>
                <w:i w:val="0"/>
                <w:sz w:val="20"/>
              </w:rPr>
              <w:t>N</w:t>
            </w:r>
          </w:p>
        </w:tc>
        <w:tc>
          <w:tcPr>
            <w:tcW w:type="dxa" w:w="1440"/>
            <w:vAlign w:val="center"/>
          </w:tcPr>
          <w:p>
            <w:pPr>
              <w:jc w:val="center"/>
            </w:pPr>
            <w:r>
              <w:rPr>
                <w:rFonts w:ascii="Times New Roman" w:hAnsi="Times New Roman"/>
                <w:b w:val="0"/>
                <w:i w:val="0"/>
                <w:sz w:val="20"/>
              </w:rPr>
              <w:t>No</w:t>
            </w:r>
          </w:p>
        </w:tc>
        <w:tc>
          <w:tcPr>
            <w:tcW w:type="dxa" w:w="936"/>
            <w:vAlign w:val="center"/>
          </w:tcPr>
          <w:p>
            <w:pPr>
              <w:jc w:val="center"/>
            </w:pPr>
            <w:r>
              <w:rPr>
                <w:rFonts w:ascii="Times New Roman" w:hAnsi="Times New Roman"/>
                <w:b w:val="0"/>
                <w:i w:val="0"/>
                <w:sz w:val="20"/>
              </w:rPr>
              <w:t>No</w:t>
            </w:r>
          </w:p>
        </w:tc>
        <w:tc>
          <w:tcPr>
            <w:tcW w:type="dxa" w:w="136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No</w:t>
            </w:r>
          </w:p>
        </w:tc>
        <w:tc>
          <w:tcPr>
            <w:tcW w:type="dxa" w:w="1008"/>
            <w:vAlign w:val="center"/>
          </w:tcPr>
          <w:p>
            <w:pPr>
              <w:jc w:val="center"/>
            </w:pPr>
            <w:r>
              <w:rPr>
                <w:rFonts w:ascii="Times New Roman" w:hAnsi="Times New Roman"/>
                <w:b w:val="0"/>
                <w:i w:val="0"/>
                <w:sz w:val="20"/>
              </w:rPr>
              <w:t>Partial</w:t>
            </w:r>
          </w:p>
        </w:tc>
        <w:tc>
          <w:tcPr>
            <w:tcW w:type="dxa" w:w="1008"/>
            <w:vAlign w:val="center"/>
          </w:tcPr>
          <w:p>
            <w:pPr>
              <w:jc w:val="center"/>
            </w:pPr>
            <w:r>
              <w:rPr>
                <w:rFonts w:ascii="Times New Roman" w:hAnsi="Times New Roman"/>
                <w:b w:val="0"/>
                <w:i w:val="0"/>
                <w:sz w:val="20"/>
              </w:rPr>
              <w:t>Yes</w:t>
            </w:r>
          </w:p>
        </w:tc>
      </w:tr>
      <w:tr>
        <w:tc>
          <w:tcPr>
            <w:tcW w:type="dxa" w:w="1872"/>
            <w:shd w:val="clear" w:color="auto" w:fill="F3F4FF"/>
            <w:vAlign w:val="center"/>
          </w:tcPr>
          <w:p>
            <w:pPr>
              <w:jc w:val="center"/>
            </w:pPr>
            <w:r>
              <w:rPr>
                <w:rFonts w:ascii="Times New Roman" w:hAnsi="Times New Roman"/>
                <w:b/>
                <w:i w:val="0"/>
                <w:sz w:val="20"/>
              </w:rPr>
              <w:t>PHANTASM</w:t>
            </w:r>
          </w:p>
        </w:tc>
        <w:tc>
          <w:tcPr>
            <w:tcW w:type="dxa" w:w="1008"/>
            <w:shd w:val="clear" w:color="auto" w:fill="F3F4FF"/>
            <w:vAlign w:val="center"/>
          </w:tcPr>
          <w:p>
            <w:pPr>
              <w:jc w:val="center"/>
            </w:pPr>
            <w:r>
              <w:rPr>
                <w:rFonts w:ascii="Times New Roman" w:hAnsi="Times New Roman"/>
                <w:b/>
                <w:i w:val="0"/>
                <w:sz w:val="20"/>
              </w:rPr>
              <w:t>Cal.</w:t>
            </w:r>
          </w:p>
        </w:tc>
        <w:tc>
          <w:tcPr>
            <w:tcW w:type="dxa" w:w="1008"/>
            <w:shd w:val="clear" w:color="auto" w:fill="F3F4FF"/>
            <w:vAlign w:val="center"/>
          </w:tcPr>
          <w:p>
            <w:pPr>
              <w:jc w:val="center"/>
            </w:pPr>
            <w:r>
              <w:rPr>
                <w:rFonts w:ascii="Times New Roman" w:hAnsi="Times New Roman"/>
                <w:b/>
                <w:i w:val="0"/>
                <w:sz w:val="20"/>
              </w:rPr>
              <w:t>No</w:t>
            </w:r>
          </w:p>
        </w:tc>
        <w:tc>
          <w:tcPr>
            <w:tcW w:type="dxa" w:w="1296"/>
            <w:shd w:val="clear" w:color="auto" w:fill="F3F4FF"/>
            <w:vAlign w:val="center"/>
          </w:tcPr>
          <w:p>
            <w:pPr>
              <w:jc w:val="center"/>
            </w:pPr>
            <w:r>
              <w:rPr>
                <w:rFonts w:ascii="Times New Roman" w:hAnsi="Times New Roman"/>
                <w:b/>
                <w:i w:val="0"/>
                <w:sz w:val="20"/>
              </w:rPr>
              <w:t>1+1</w:t>
            </w:r>
          </w:p>
        </w:tc>
        <w:tc>
          <w:tcPr>
            <w:tcW w:type="dxa" w:w="1440"/>
            <w:shd w:val="clear" w:color="auto" w:fill="F3F4FF"/>
            <w:vAlign w:val="center"/>
          </w:tcPr>
          <w:p>
            <w:pPr>
              <w:jc w:val="center"/>
            </w:pPr>
            <w:r>
              <w:rPr>
                <w:rFonts w:ascii="Times New Roman" w:hAnsi="Times New Roman"/>
                <w:b/>
                <w:i w:val="0"/>
                <w:sz w:val="20"/>
              </w:rPr>
              <w:t>Yes</w:t>
            </w:r>
          </w:p>
        </w:tc>
        <w:tc>
          <w:tcPr>
            <w:tcW w:type="dxa" w:w="936"/>
            <w:shd w:val="clear" w:color="auto" w:fill="F3F4FF"/>
            <w:vAlign w:val="center"/>
          </w:tcPr>
          <w:p>
            <w:pPr>
              <w:jc w:val="center"/>
            </w:pPr>
            <w:r>
              <w:rPr>
                <w:rFonts w:ascii="Times New Roman" w:hAnsi="Times New Roman"/>
                <w:b/>
                <w:i w:val="0"/>
                <w:sz w:val="20"/>
              </w:rPr>
              <w:t>Yes</w:t>
            </w:r>
          </w:p>
        </w:tc>
        <w:tc>
          <w:tcPr>
            <w:tcW w:type="dxa" w:w="1368"/>
            <w:shd w:val="clear" w:color="auto" w:fill="F3F4FF"/>
            <w:vAlign w:val="center"/>
          </w:tcPr>
          <w:p>
            <w:pPr>
              <w:jc w:val="center"/>
            </w:pPr>
            <w:r>
              <w:rPr>
                <w:rFonts w:ascii="Times New Roman" w:hAnsi="Times New Roman"/>
                <w:b/>
                <w:i w:val="0"/>
                <w:sz w:val="20"/>
              </w:rPr>
              <w:t>Yes</w:t>
            </w:r>
          </w:p>
        </w:tc>
        <w:tc>
          <w:tcPr>
            <w:tcW w:type="dxa" w:w="1008"/>
            <w:shd w:val="clear" w:color="auto" w:fill="F3F4FF"/>
            <w:vAlign w:val="center"/>
          </w:tcPr>
          <w:p>
            <w:pPr>
              <w:jc w:val="center"/>
            </w:pPr>
            <w:r>
              <w:rPr>
                <w:rFonts w:ascii="Times New Roman" w:hAnsi="Times New Roman"/>
                <w:b/>
                <w:i w:val="0"/>
                <w:sz w:val="20"/>
              </w:rPr>
              <w:t>Yes</w:t>
            </w:r>
          </w:p>
        </w:tc>
        <w:tc>
          <w:tcPr>
            <w:tcW w:type="dxa" w:w="1008"/>
            <w:shd w:val="clear" w:color="auto" w:fill="F3F4FF"/>
            <w:vAlign w:val="center"/>
          </w:tcPr>
          <w:p>
            <w:pPr>
              <w:jc w:val="center"/>
            </w:pPr>
            <w:r>
              <w:rPr>
                <w:rFonts w:ascii="Times New Roman" w:hAnsi="Times New Roman"/>
                <w:b/>
                <w:i w:val="0"/>
                <w:sz w:val="20"/>
              </w:rPr>
              <w:t>Yes</w:t>
            </w:r>
          </w:p>
        </w:tc>
        <w:tc>
          <w:tcPr>
            <w:tcW w:type="dxa" w:w="1008"/>
            <w:shd w:val="clear" w:color="auto" w:fill="F3F4FF"/>
            <w:vAlign w:val="center"/>
          </w:tcPr>
          <w:p>
            <w:pPr>
              <w:jc w:val="center"/>
            </w:pPr>
            <w:r>
              <w:rPr>
                <w:rFonts w:ascii="Times New Roman" w:hAnsi="Times New Roman"/>
                <w:b/>
                <w:i w:val="0"/>
                <w:sz w:val="20"/>
              </w:rPr>
              <w:t>Yes</w:t>
            </w:r>
          </w:p>
        </w:tc>
        <w:tc>
          <w:tcPr>
            <w:tcW w:type="dxa" w:w="1008"/>
            <w:shd w:val="clear" w:color="auto" w:fill="F3F4FF"/>
            <w:vAlign w:val="center"/>
          </w:tcPr>
          <w:p>
            <w:pPr>
              <w:jc w:val="center"/>
            </w:pPr>
            <w:r>
              <w:rPr>
                <w:rFonts w:ascii="Times New Roman" w:hAnsi="Times New Roman"/>
                <w:b/>
                <w:i w:val="0"/>
                <w:sz w:val="20"/>
              </w:rPr>
              <w:t>Yes</w:t>
            </w:r>
          </w:p>
        </w:tc>
      </w:tr>
    </w:tbl>
    <w:p>
      <w:pPr>
        <w:spacing w:after="160"/>
      </w:pPr>
    </w:p>
    <w:p>
      <w:pPr>
        <w:spacing w:before="0" w:after="140"/>
        <w:ind w:firstLine="432"/>
        <w:jc w:val="both"/>
      </w:pPr>
      <w:r>
        <w:rPr>
          <w:rFonts w:ascii="Times New Roman" w:hAnsi="Times New Roman"/>
          <w:b w:val="0"/>
          <w:i w:val="0"/>
          <w:sz w:val="22"/>
        </w:rPr>
        <w:t>PHANTASM is the only method that simultaneously provides: no ground-truth labels for HGT, a coverage guarantee (UC), novel hypothesis generation (CMN), a per-token knowledge map, an actionable deployment tier policy, white-box gradient access for interpretability, production-ready single-query overhead, and an open-source release. No prior method achieves more than 6 of these 10 criteria simultaneously; PHANTASM achieves all 10.</w:t>
      </w:r>
    </w:p>
    <w:p>
      <w:pPr>
        <w:spacing w:before="280" w:after="80"/>
      </w:pPr>
      <w:r>
        <w:rPr>
          <w:rFonts w:ascii="Times New Roman" w:hAnsi="Times New Roman"/>
          <w:b/>
          <w:i w:val="0"/>
          <w:color w:val="1A237E"/>
          <w:sz w:val="26"/>
        </w:rPr>
        <w:t>9.  Conclusion</w:t>
      </w:r>
    </w:p>
    <w:p>
      <w:pPr>
        <w:spacing w:before="0" w:after="140"/>
        <w:ind w:firstLine="432"/>
        <w:jc w:val="both"/>
      </w:pPr>
      <w:r>
        <w:rPr>
          <w:rFonts w:ascii="Times New Roman" w:hAnsi="Times New Roman"/>
          <w:b w:val="0"/>
          <w:i w:val="0"/>
          <w:sz w:val="22"/>
        </w:rPr>
        <w:t>We presented PHANTASM, the first unified framework to invert all three major LLM failure modes — hallucination, confabulation, and epistemic miscalibration — into structured, actionable, machine-readable assets with quantified quality guarantees. The three pillars are independent and compounding: HGT identifies where the model's knowledge ends; CMN mines what lies beyond that boundary for scientific value; UC crystallizes the model's uncertainty into statistically-guaranteed reliability tiers that drive deployment decisions.</w:t>
      </w:r>
    </w:p>
    <w:p>
      <w:pPr>
        <w:spacing w:before="0" w:after="140"/>
        <w:ind w:firstLine="432"/>
        <w:jc w:val="both"/>
      </w:pPr>
      <w:r>
        <w:rPr>
          <w:rFonts w:ascii="Times New Roman" w:hAnsi="Times New Roman"/>
          <w:b w:val="0"/>
          <w:i w:val="0"/>
          <w:sz w:val="22"/>
        </w:rPr>
        <w:t>Three longitudinal real-world case studies — a hospital drug-interaction near-miss averted, a computational biology hypothesis that yielded a preprint-worthy wet-lab result, and a financial risk pipeline that captured 4 tail-event filings missed by a prior system — demonstrate that the inversion is not merely theoretical. LLM failures, when listened to rather than suppressed, produce real-world value across medical, scientific, and financial domains.</w:t>
      </w:r>
    </w:p>
    <w:p>
      <w:pPr>
        <w:spacing w:before="0" w:after="140"/>
        <w:ind w:firstLine="432"/>
        <w:jc w:val="both"/>
      </w:pPr>
      <w:r>
        <w:rPr>
          <w:rFonts w:ascii="Times New Roman" w:hAnsi="Times New Roman"/>
          <w:b w:val="0"/>
          <w:i w:val="0"/>
          <w:sz w:val="22"/>
        </w:rPr>
        <w:t>We release PHANTASM as pip install phantasm-llm (Apache 2.0), a companion dataset vigneshwar234/phantasm-hallucination-benchmark on HuggingFace Hub, and full documentation at vignesh2027.github.io/PHANTASM. We hope PHANTASM establishes failure-mode mining as a productive research direction alongside the existing failure-suppression paradigm. Every model that hallucinates is telling you exactly where it is blind. Every confabulation is a hypothesis waiting to be tested. Every miscalibration is a map of the training distribution's gaps. PHANTASM listens.</w:t>
      </w:r>
    </w:p>
    <w:p>
      <w:pPr>
        <w:spacing w:before="40" w:after="40"/>
        <w:pBdr>
          <w:bottom w:val="single" w:sz="6" w:space="1" w:color="1A237E"/>
        </w:pBdr>
      </w:pPr>
    </w:p>
    <w:p>
      <w:pPr>
        <w:spacing w:before="280" w:after="80"/>
      </w:pPr>
      <w:r>
        <w:rPr>
          <w:rFonts w:ascii="Times New Roman" w:hAnsi="Times New Roman"/>
          <w:b/>
          <w:i w:val="0"/>
          <w:color w:val="1A237E"/>
          <w:sz w:val="24"/>
        </w:rPr>
        <w:t>References</w:t>
      </w:r>
    </w:p>
    <w:p>
      <w:pPr>
        <w:spacing w:after="80" w:before="0"/>
        <w:ind w:left="360" w:hanging="360"/>
      </w:pPr>
      <w:r>
        <w:rPr>
          <w:rFonts w:ascii="Times New Roman" w:hAnsi="Times New Roman"/>
          <w:b w:val="0"/>
          <w:i w:val="0"/>
          <w:sz w:val="19"/>
        </w:rPr>
        <w:t>[1]  Angelopoulos, A. N., &amp; Bates, S. (2022). A gentle introduction to conformal prediction and distribution-free uncertainty quantification. arXiv:2107.07511.</w:t>
      </w:r>
    </w:p>
    <w:p>
      <w:pPr>
        <w:spacing w:after="80" w:before="0"/>
        <w:ind w:left="360" w:hanging="360"/>
      </w:pPr>
      <w:r>
        <w:rPr>
          <w:rFonts w:ascii="Times New Roman" w:hAnsi="Times New Roman"/>
          <w:b w:val="0"/>
          <w:i w:val="0"/>
          <w:sz w:val="19"/>
        </w:rPr>
        <w:t>[2]  Azaria, A., &amp; Mitchell, T. (2023). The internal state of an LLM knows when it's lying. EMNLP Findings.</w:t>
      </w:r>
    </w:p>
    <w:p>
      <w:pPr>
        <w:spacing w:after="80" w:before="0"/>
        <w:ind w:left="360" w:hanging="360"/>
      </w:pPr>
      <w:r>
        <w:rPr>
          <w:rFonts w:ascii="Times New Roman" w:hAnsi="Times New Roman"/>
          <w:b w:val="0"/>
          <w:i w:val="0"/>
          <w:sz w:val="19"/>
        </w:rPr>
        <w:t>[3]  Bran, A. M., Cox, S., White, A. D., &amp; Schwaller, P. (2023). ChemCrow: Augmenting large-language models with chemistry tools. arXiv:2304.05376.</w:t>
      </w:r>
    </w:p>
    <w:p>
      <w:pPr>
        <w:spacing w:after="80" w:before="0"/>
        <w:ind w:left="360" w:hanging="360"/>
      </w:pPr>
      <w:r>
        <w:rPr>
          <w:rFonts w:ascii="Times New Roman" w:hAnsi="Times New Roman"/>
          <w:b w:val="0"/>
          <w:i w:val="0"/>
          <w:sz w:val="19"/>
        </w:rPr>
        <w:t>[4]  Burns, C., Ye, H., Klein, D., &amp; Steinhardt, J. (2022). Discovering latent knowledge in language models without supervision. ICLR 2023.</w:t>
      </w:r>
    </w:p>
    <w:p>
      <w:pPr>
        <w:spacing w:after="80" w:before="0"/>
        <w:ind w:left="360" w:hanging="360"/>
      </w:pPr>
      <w:r>
        <w:rPr>
          <w:rFonts w:ascii="Times New Roman" w:hAnsi="Times New Roman"/>
          <w:b w:val="0"/>
          <w:i w:val="0"/>
          <w:sz w:val="19"/>
        </w:rPr>
        <w:t>[5]  Gal, Y., &amp; Ghahramani, Z. (2016). Dropout as a Bayesian approximation. ICML.</w:t>
      </w:r>
    </w:p>
    <w:p>
      <w:pPr>
        <w:spacing w:after="80" w:before="0"/>
        <w:ind w:left="360" w:hanging="360"/>
      </w:pPr>
      <w:r>
        <w:rPr>
          <w:rFonts w:ascii="Times New Roman" w:hAnsi="Times New Roman"/>
          <w:b w:val="0"/>
          <w:i w:val="0"/>
          <w:sz w:val="19"/>
        </w:rPr>
        <w:t>[6]  Guo, C., Pleiss, G., Sun, Y., &amp; Weinberger, K. Q. (2017). On calibration of modern neural networks. ICML.</w:t>
      </w:r>
    </w:p>
    <w:p>
      <w:pPr>
        <w:spacing w:after="80" w:before="0"/>
        <w:ind w:left="360" w:hanging="360"/>
      </w:pPr>
      <w:r>
        <w:rPr>
          <w:rFonts w:ascii="Times New Roman" w:hAnsi="Times New Roman"/>
          <w:b w:val="0"/>
          <w:i w:val="0"/>
          <w:sz w:val="19"/>
        </w:rPr>
        <w:t>[7]  Kadavath, S., Conerly, T., Askell, A., Henighan, T., et al. (2022). Language models (mostly) know what they know. arXiv:2207.05221.</w:t>
      </w:r>
    </w:p>
    <w:p>
      <w:pPr>
        <w:spacing w:after="80" w:before="0"/>
        <w:ind w:left="360" w:hanging="360"/>
      </w:pPr>
      <w:r>
        <w:rPr>
          <w:rFonts w:ascii="Times New Roman" w:hAnsi="Times New Roman"/>
          <w:b w:val="0"/>
          <w:i w:val="0"/>
          <w:sz w:val="19"/>
        </w:rPr>
        <w:t>[8]  Kull, M., Perello-Nieto, M., Kängsepp, M., Song, H., Flach, P., &amp; Ghahramani, Z. (2019). Beyond temperature scaling. NeurIPS.</w:t>
      </w:r>
    </w:p>
    <w:p>
      <w:pPr>
        <w:spacing w:after="80" w:before="0"/>
        <w:ind w:left="360" w:hanging="360"/>
      </w:pPr>
      <w:r>
        <w:rPr>
          <w:rFonts w:ascii="Times New Roman" w:hAnsi="Times New Roman"/>
          <w:b w:val="0"/>
          <w:i w:val="0"/>
          <w:sz w:val="19"/>
        </w:rPr>
        <w:t>[9]  Kuhn, L., Gal, Y., &amp; Farquhar, S. (2023). Semantic uncertainty. ICLR.</w:t>
      </w:r>
    </w:p>
    <w:p>
      <w:pPr>
        <w:spacing w:after="80" w:before="0"/>
        <w:ind w:left="360" w:hanging="360"/>
      </w:pPr>
      <w:r>
        <w:rPr>
          <w:rFonts w:ascii="Times New Roman" w:hAnsi="Times New Roman"/>
          <w:b w:val="0"/>
          <w:i w:val="0"/>
          <w:sz w:val="19"/>
        </w:rPr>
        <w:t>[10] Lakshminarayanan, B., Pritzel, A., &amp; Blundell, C. (2017). Simple and scalable predictive uncertainty estimation using deep ensembles. NeurIPS.</w:t>
      </w:r>
    </w:p>
    <w:p>
      <w:pPr>
        <w:spacing w:after="80" w:before="0"/>
        <w:ind w:left="360" w:hanging="360"/>
      </w:pPr>
      <w:r>
        <w:rPr>
          <w:rFonts w:ascii="Times New Roman" w:hAnsi="Times New Roman"/>
          <w:b w:val="0"/>
          <w:i w:val="0"/>
          <w:sz w:val="19"/>
        </w:rPr>
        <w:t>[11] Lewis, P., Perez, E., Piktus, A., Petroni, F., et al. (2020). Retrieval-augmented generation for knowledge-intensive NLP tasks. NeurIPS.</w:t>
      </w:r>
    </w:p>
    <w:p>
      <w:pPr>
        <w:spacing w:after="80" w:before="0"/>
        <w:ind w:left="360" w:hanging="360"/>
      </w:pPr>
      <w:r>
        <w:rPr>
          <w:rFonts w:ascii="Times New Roman" w:hAnsi="Times New Roman"/>
          <w:b w:val="0"/>
          <w:i w:val="0"/>
          <w:sz w:val="19"/>
        </w:rPr>
        <w:t>[12] Liu, Y., Iter, D., Xu, Y., Wang, S., Xu, R., &amp; Zhu, C. (2022). HaDes: Token-level hallucination detection. arXiv.</w:t>
      </w:r>
    </w:p>
    <w:p>
      <w:pPr>
        <w:spacing w:after="80" w:before="0"/>
        <w:ind w:left="360" w:hanging="360"/>
      </w:pPr>
      <w:r>
        <w:rPr>
          <w:rFonts w:ascii="Times New Roman" w:hAnsi="Times New Roman"/>
          <w:b w:val="0"/>
          <w:i w:val="0"/>
          <w:sz w:val="19"/>
        </w:rPr>
        <w:t>[13] Manakul, P., Liusie, A., &amp; Gales, M. (2023). SelfCheckGPT: Zero-resource black-box hallucination detection for generative LLMs. EMNLP.</w:t>
      </w:r>
    </w:p>
    <w:p>
      <w:pPr>
        <w:spacing w:after="80" w:before="0"/>
        <w:ind w:left="360" w:hanging="360"/>
      </w:pPr>
      <w:r>
        <w:rPr>
          <w:rFonts w:ascii="Times New Roman" w:hAnsi="Times New Roman"/>
          <w:b w:val="0"/>
          <w:i w:val="0"/>
          <w:sz w:val="19"/>
        </w:rPr>
        <w:t>[14] Min, S., Krishna, K., Lyu, X., Lewis, M., et al. (2023). FActScoring. ACL.</w:t>
      </w:r>
    </w:p>
    <w:p>
      <w:pPr>
        <w:spacing w:after="80" w:before="0"/>
        <w:ind w:left="360" w:hanging="360"/>
      </w:pPr>
      <w:r>
        <w:rPr>
          <w:rFonts w:ascii="Times New Roman" w:hAnsi="Times New Roman"/>
          <w:b w:val="0"/>
          <w:i w:val="0"/>
          <w:sz w:val="19"/>
        </w:rPr>
        <w:t>[15] Müller, R., Kornblith, S., &amp; Hinton, G. (2019). When does label smoothing help? NeurIPS.</w:t>
      </w:r>
    </w:p>
    <w:p>
      <w:pPr>
        <w:spacing w:after="80" w:before="0"/>
        <w:ind w:left="360" w:hanging="360"/>
      </w:pPr>
      <w:r>
        <w:rPr>
          <w:rFonts w:ascii="Times New Roman" w:hAnsi="Times New Roman"/>
          <w:b w:val="0"/>
          <w:i w:val="0"/>
          <w:sz w:val="19"/>
        </w:rPr>
        <w:t>[16] Ouyang, L., Wu, J., Jiang, X., Almeida, D., et al. (2022). Training language models to follow instructions with human feedback. NeurIPS.</w:t>
      </w:r>
    </w:p>
    <w:p>
      <w:pPr>
        <w:spacing w:after="80" w:before="0"/>
        <w:ind w:left="360" w:hanging="360"/>
      </w:pPr>
      <w:r>
        <w:rPr>
          <w:rFonts w:ascii="Times New Roman" w:hAnsi="Times New Roman"/>
          <w:b w:val="0"/>
          <w:i w:val="0"/>
          <w:sz w:val="19"/>
        </w:rPr>
        <w:t>[17] Platt, J. (1999). Probabilistic outputs for support vector machines. Advances in Large Margin Classifiers.</w:t>
      </w:r>
    </w:p>
    <w:p>
      <w:pPr>
        <w:spacing w:after="80" w:before="0"/>
        <w:ind w:left="360" w:hanging="360"/>
      </w:pPr>
      <w:r>
        <w:rPr>
          <w:rFonts w:ascii="Times New Roman" w:hAnsi="Times New Roman"/>
          <w:b w:val="0"/>
          <w:i w:val="0"/>
          <w:sz w:val="19"/>
        </w:rPr>
        <w:t>[18] Radford, A., Wu, J., Child, R., Luan, D., Amodei, D., &amp; Sutskever, I. (2019). Language models are unsupervised multitask learners. OpenAI Blog.</w:t>
      </w:r>
    </w:p>
    <w:p>
      <w:pPr>
        <w:spacing w:after="80" w:before="0"/>
        <w:ind w:left="360" w:hanging="360"/>
      </w:pPr>
      <w:r>
        <w:rPr>
          <w:rFonts w:ascii="Times New Roman" w:hAnsi="Times New Roman"/>
          <w:b w:val="0"/>
          <w:i w:val="0"/>
          <w:sz w:val="19"/>
        </w:rPr>
        <w:t>[19] Sundararajan, M., Taly, A., &amp; Yan, Q. (2017). Axiomatic attribution for deep networks. ICML.</w:t>
      </w:r>
    </w:p>
    <w:p>
      <w:pPr>
        <w:spacing w:after="80" w:before="0"/>
        <w:ind w:left="360" w:hanging="360"/>
      </w:pPr>
      <w:r>
        <w:rPr>
          <w:rFonts w:ascii="Times New Roman" w:hAnsi="Times New Roman"/>
          <w:b w:val="0"/>
          <w:i w:val="0"/>
          <w:sz w:val="19"/>
        </w:rPr>
        <w:t>[20] Touvron, H., Lavril, T., Izacard, G., Martinet, X., et al. (2023). LLaMA. arXiv:2302.13971.</w:t>
      </w:r>
    </w:p>
    <w:p>
      <w:pPr>
        <w:spacing w:after="80" w:before="0"/>
        <w:ind w:left="360" w:hanging="360"/>
      </w:pPr>
      <w:r>
        <w:rPr>
          <w:rFonts w:ascii="Times New Roman" w:hAnsi="Times New Roman"/>
          <w:b w:val="0"/>
          <w:i w:val="0"/>
          <w:sz w:val="19"/>
        </w:rPr>
        <w:t>[21] Vovk, V., Gammerman, A., &amp; Shafer, G. (2005). Algorithmic Learning in a Random World. Springer.</w:t>
      </w:r>
    </w:p>
    <w:p>
      <w:pPr>
        <w:spacing w:after="80" w:before="0"/>
        <w:ind w:left="360" w:hanging="360"/>
      </w:pPr>
      <w:r>
        <w:rPr>
          <w:rFonts w:ascii="Times New Roman" w:hAnsi="Times New Roman"/>
          <w:b w:val="0"/>
          <w:i w:val="0"/>
          <w:sz w:val="19"/>
        </w:rPr>
        <w:t>[22] Wang, L., Ma, C., Feng, X., Zhang, Z., et al. (2023). Scientific discovery in the age of artificial intelligence. Nature.</w:t>
      </w:r>
    </w:p>
    <w:p>
      <w:pPr>
        <w:spacing w:after="80" w:before="0"/>
        <w:ind w:left="360" w:hanging="360"/>
      </w:pPr>
      <w:r>
        <w:rPr>
          <w:rFonts w:ascii="Times New Roman" w:hAnsi="Times New Roman"/>
          <w:b w:val="0"/>
          <w:i w:val="0"/>
          <w:sz w:val="19"/>
        </w:rPr>
        <w:t>[23] Wei, J., Wang, X., Schuurmans, D., Bosma, M., et al. (2022). Chain-of-thought prompting. NeurIPS.</w:t>
      </w:r>
    </w:p>
    <w:p>
      <w:pPr>
        <w:spacing w:after="80" w:before="0"/>
        <w:ind w:left="360" w:hanging="360"/>
      </w:pPr>
      <w:r>
        <w:rPr>
          <w:rFonts w:ascii="Times New Roman" w:hAnsi="Times New Roman"/>
          <w:b w:val="0"/>
          <w:i w:val="0"/>
          <w:sz w:val="19"/>
        </w:rPr>
        <w:t>[24] Zadrozny, B., &amp; Elkan, C. (2002). Transforming classifier scores into accurate multiclass probability estimates. KDD.</w:t>
      </w:r>
    </w:p>
    <w:sectPr w:rsidR="00FC693F" w:rsidRPr="0006063C" w:rsidSect="00034616">
      <w:pgSz w:w="12240" w:h="15840"/>
      <w:pgMar w:top="1361" w:right="1701" w:bottom="136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