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40"/>
        <w:jc w:val="center"/>
      </w:pPr>
      <w:r>
        <w:rPr>
          <w:rFonts w:ascii="Times New Roman" w:hAnsi="Times New Roman" w:cs="Times New Roman" w:eastAsia="Times New Roman"/>
          <w:b/>
          <w:i w:val="0"/>
          <w:sz w:val="28"/>
        </w:rPr>
        <w:t>Cover letter</w:t>
      </w:r>
    </w:p>
    <w:p>
      <w:pPr>
        <w:spacing w:line="240" w:lineRule="auto" w:before="0" w:after="240"/>
        <w:jc w:val="left"/>
      </w:pPr>
      <w:r>
        <w:rPr>
          <w:rFonts w:ascii="Times New Roman" w:hAnsi="Times New Roman" w:cs="Times New Roman" w:eastAsia="Times New Roman"/>
          <w:b w:val="0"/>
          <w:i w:val="0"/>
          <w:sz w:val="24"/>
        </w:rPr>
        <w:t>24 October 2026</w:t>
      </w:r>
    </w:p>
    <w:p>
      <w:pPr>
        <w:spacing w:line="240" w:lineRule="auto" w:before="0" w:after="0"/>
        <w:jc w:val="left"/>
      </w:pPr>
      <w:r>
        <w:rPr>
          <w:rFonts w:ascii="Times New Roman" w:hAnsi="Times New Roman" w:cs="Times New Roman" w:eastAsia="Times New Roman"/>
          <w:b w:val="0"/>
          <w:i w:val="0"/>
          <w:sz w:val="24"/>
        </w:rPr>
        <w:t>The Editor-in-Chief</w:t>
      </w:r>
    </w:p>
    <w:p>
      <w:pPr>
        <w:spacing w:line="240" w:lineRule="auto" w:before="0" w:after="0"/>
        <w:jc w:val="left"/>
      </w:pPr>
      <w:r>
        <w:rPr>
          <w:rFonts w:ascii="Times New Roman" w:hAnsi="Times New Roman" w:cs="Times New Roman" w:eastAsia="Times New Roman"/>
          <w:b w:val="0"/>
          <w:i w:val="0"/>
          <w:sz w:val="24"/>
        </w:rPr>
        <w:t>Knowledge-Based Systems</w:t>
      </w:r>
    </w:p>
    <w:p>
      <w:pPr>
        <w:spacing w:line="240" w:lineRule="auto" w:before="0" w:after="0"/>
        <w:jc w:val="left"/>
      </w:pPr>
      <w:r>
        <w:rPr>
          <w:rFonts w:ascii="Times New Roman" w:hAnsi="Times New Roman" w:cs="Times New Roman" w:eastAsia="Times New Roman"/>
          <w:b w:val="0"/>
          <w:i w:val="0"/>
          <w:sz w:val="24"/>
        </w:rPr>
        <w:t>Elsevier</w:t>
      </w:r>
    </w:p>
    <w:p>
      <w:pPr>
        <w:spacing w:line="240" w:lineRule="auto" w:before="0" w:after="120"/>
        <w:jc w:val="both"/>
      </w:pPr>
    </w:p>
    <w:p>
      <w:pPr>
        <w:spacing w:line="240" w:lineRule="auto" w:before="0" w:after="160"/>
        <w:jc w:val="left"/>
      </w:pPr>
      <w:r>
        <w:rPr>
          <w:rFonts w:ascii="Times New Roman" w:hAnsi="Times New Roman" w:cs="Times New Roman" w:eastAsia="Times New Roman"/>
          <w:b w:val="0"/>
          <w:i w:val="0"/>
          <w:sz w:val="24"/>
        </w:rPr>
        <w:t>Dear Editor,</w:t>
      </w:r>
    </w:p>
    <w:p>
      <w:pPr>
        <w:spacing w:line="240" w:lineRule="auto" w:before="0" w:after="160"/>
        <w:jc w:val="both"/>
      </w:pPr>
      <w:r>
        <w:rPr>
          <w:rFonts w:ascii="Times New Roman" w:hAnsi="Times New Roman" w:cs="Times New Roman" w:eastAsia="Times New Roman"/>
          <w:b w:val="0"/>
          <w:i w:val="0"/>
          <w:sz w:val="24"/>
        </w:rPr>
        <w:t>Please consider the enclosed short communication, “A knowledge-based AI decision-support model for predicting digital transformation readiness from enterprise innovation data,” for publication in Knowledge-Based Systems.</w:t>
      </w:r>
    </w:p>
    <w:p>
      <w:pPr>
        <w:spacing w:line="240" w:lineRule="auto" w:before="0" w:after="160"/>
        <w:jc w:val="both"/>
      </w:pPr>
      <w:r>
        <w:rPr>
          <w:rFonts w:ascii="Times New Roman" w:hAnsi="Times New Roman" w:cs="Times New Roman" w:eastAsia="Times New Roman"/>
          <w:b w:val="0"/>
          <w:i w:val="0"/>
          <w:sz w:val="24"/>
        </w:rPr>
        <w:t>The manuscript introduces KAID, a decision-support model that keeps a knowledge base and an artificial-intelligence score in separate roles. Six rules score an enterprise innovation record. A gradient-boosting layer estimates the probability of digital-transformation readiness from the same items. The readiness label is built only from digital markers, and those markers are excluded from the predictors. On the public Latin American innovation surveys, 14,663 firm-years from 12,070 enterprises, the AI layer reaches a holdout AUC of 0.891. It exceeds the knowledge layer by 0.038 AUC and logistic regression by 0.018 AUC. Blending the two probabilities, with the training weight on the AI layer equal to 0.95, does not improve on the AI layer (difference −0.0002; p = 0.223). The decision bands still separate realized readiness, from 4.0% in Hold to 64.5% in Prioritize, and each band names one missing routine.</w:t>
      </w:r>
    </w:p>
    <w:p>
      <w:pPr>
        <w:spacing w:line="240" w:lineRule="auto" w:before="0" w:after="160"/>
        <w:jc w:val="both"/>
      </w:pPr>
      <w:r>
        <w:rPr>
          <w:rFonts w:ascii="Times New Roman" w:hAnsi="Times New Roman" w:cs="Times New Roman" w:eastAsia="Times New Roman"/>
          <w:b w:val="0"/>
          <w:i w:val="0"/>
          <w:sz w:val="24"/>
        </w:rPr>
        <w:t>The paper is written for the journal’s interest in knowledge-based and other artificial-intelligence systems. The knowledge layer is an explicit rule base. The AI layer is a tested score. The holdout keeps each enterprise on one side of the split, and the paired contrasts are enterprise bootstraps of the fixed scores.</w:t>
      </w:r>
    </w:p>
    <w:p>
      <w:pPr>
        <w:spacing w:line="240" w:lineRule="auto" w:before="0" w:after="160"/>
        <w:jc w:val="both"/>
      </w:pPr>
      <w:r>
        <w:rPr>
          <w:rFonts w:ascii="Times New Roman" w:hAnsi="Times New Roman" w:cs="Times New Roman" w:eastAsia="Times New Roman"/>
          <w:b w:val="0"/>
          <w:i w:val="0"/>
          <w:sz w:val="24"/>
        </w:rPr>
        <w:t>I confirm that this manuscript is original, that it has not been published in whole or in part, and that it is not under consideration by another journal. I am the sole author. I have no known competing financial interests or personal relationships that could have appeared to influence the work. The research received no specific grant. During manuscript preparation I used Cursor to draft, edit, organize, and format the text and to organize the analysis code. I reviewed the content and I take responsibility for it. That use is declared in the manuscript. The estimates use the public LAIS microdata of the Inter-American Development Bank. The microdata are not redistributed.</w:t>
      </w:r>
    </w:p>
    <w:p>
      <w:pPr>
        <w:spacing w:line="240" w:lineRule="auto" w:before="0" w:after="160"/>
        <w:jc w:val="both"/>
      </w:pPr>
      <w:r>
        <w:rPr>
          <w:rFonts w:ascii="Times New Roman" w:hAnsi="Times New Roman" w:cs="Times New Roman" w:eastAsia="Times New Roman"/>
          <w:b w:val="0"/>
          <w:i w:val="0"/>
          <w:sz w:val="24"/>
        </w:rPr>
        <w:t>The full institutional affiliation and postal address required on the title page are not yet entered; I will supply them in the submission system. Please address correspondence to me at saivigneshakkineni2@gmail.com.</w:t>
      </w:r>
    </w:p>
    <w:p>
      <w:pPr>
        <w:spacing w:line="240" w:lineRule="auto" w:before="0" w:after="160"/>
        <w:jc w:val="both"/>
      </w:pPr>
      <w:r>
        <w:rPr>
          <w:rFonts w:ascii="Times New Roman" w:hAnsi="Times New Roman" w:cs="Times New Roman" w:eastAsia="Times New Roman"/>
          <w:b w:val="0"/>
          <w:i w:val="0"/>
          <w:sz w:val="24"/>
        </w:rPr>
        <w:t>Thank you for your consideration.</w:t>
      </w:r>
    </w:p>
    <w:p>
      <w:pPr>
        <w:spacing w:line="240" w:lineRule="auto" w:before="120" w:after="240"/>
        <w:jc w:val="left"/>
      </w:pPr>
      <w:r>
        <w:rPr>
          <w:rFonts w:ascii="Times New Roman" w:hAnsi="Times New Roman" w:cs="Times New Roman" w:eastAsia="Times New Roman"/>
          <w:b w:val="0"/>
          <w:i w:val="0"/>
          <w:sz w:val="24"/>
        </w:rPr>
        <w:t>Sincerely,</w:t>
      </w:r>
    </w:p>
    <w:p>
      <w:pPr>
        <w:spacing w:line="240" w:lineRule="auto" w:before="0" w:after="0"/>
        <w:jc w:val="left"/>
      </w:pPr>
      <w:r>
        <w:rPr>
          <w:rFonts w:ascii="Times New Roman" w:hAnsi="Times New Roman" w:cs="Times New Roman" w:eastAsia="Times New Roman"/>
          <w:b/>
          <w:i w:val="0"/>
          <w:sz w:val="24"/>
        </w:rPr>
        <w:t>Sai Vignesh Akkineni</w:t>
      </w:r>
    </w:p>
    <w:p>
      <w:pPr>
        <w:spacing w:line="240" w:lineRule="auto" w:before="0" w:after="0"/>
        <w:jc w:val="left"/>
      </w:pPr>
      <w:r>
        <w:rPr>
          <w:rFonts w:ascii="Times New Roman" w:hAnsi="Times New Roman" w:cs="Times New Roman" w:eastAsia="Times New Roman"/>
          <w:b w:val="0"/>
          <w:i w:val="0"/>
          <w:sz w:val="24"/>
        </w:rPr>
        <w:t>Doctor of Business Administration candidate</w:t>
      </w:r>
    </w:p>
    <w:p>
      <w:pPr>
        <w:spacing w:line="240" w:lineRule="auto" w:before="0" w:after="0"/>
        <w:jc w:val="left"/>
      </w:pPr>
      <w:r>
        <w:rPr>
          <w:rFonts w:ascii="Times New Roman" w:hAnsi="Times New Roman" w:cs="Times New Roman" w:eastAsia="Times New Roman"/>
          <w:b w:val="0"/>
          <w:i w:val="0"/>
          <w:sz w:val="24"/>
        </w:rPr>
        <w:t>Corresponding author</w:t>
      </w:r>
    </w:p>
    <w:p>
      <w:pPr>
        <w:spacing w:line="240" w:lineRule="auto" w:before="0" w:after="0"/>
        <w:jc w:val="left"/>
      </w:pPr>
      <w:r>
        <w:rPr>
          <w:rFonts w:ascii="Times New Roman" w:hAnsi="Times New Roman" w:cs="Times New Roman" w:eastAsia="Times New Roman"/>
          <w:b w:val="0"/>
          <w:i w:val="0"/>
          <w:sz w:val="24"/>
        </w:rPr>
        <w:t>Email: saivigneshakkineni2@gmail.com</w:t>
      </w:r>
    </w:p>
    <w:p>
      <w:r>
        <w:br w:type="page"/>
      </w:r>
    </w:p>
    <w:p>
      <w:pPr>
        <w:spacing w:line="240" w:lineRule="auto" w:before="0" w:after="120"/>
        <w:jc w:val="center"/>
      </w:pPr>
      <w:r>
        <w:rPr>
          <w:rFonts w:ascii="Times New Roman" w:hAnsi="Times New Roman" w:cs="Times New Roman" w:eastAsia="Times New Roman"/>
          <w:b w:val="0"/>
          <w:i/>
          <w:sz w:val="22"/>
        </w:rPr>
        <w:t>Manuscript</w:t>
      </w:r>
    </w:p>
    <w:p>
      <w:pPr>
        <w:spacing w:line="240" w:lineRule="auto" w:before="0" w:after="200"/>
        <w:jc w:val="center"/>
      </w:pPr>
      <w:r>
        <w:rPr>
          <w:rFonts w:ascii="Times New Roman" w:hAnsi="Times New Roman" w:cs="Times New Roman" w:eastAsia="Times New Roman"/>
          <w:b/>
          <w:i w:val="0"/>
          <w:sz w:val="32"/>
        </w:rPr>
        <w:t>A knowledge-based AI decision-support model for predicting digital transformation readiness from enterprise innovation data</w:t>
      </w:r>
    </w:p>
    <w:p>
      <w:pPr>
        <w:spacing w:line="240" w:lineRule="auto" w:before="0" w:after="40"/>
        <w:jc w:val="center"/>
      </w:pPr>
      <w:r>
        <w:rPr>
          <w:rFonts w:ascii="Times New Roman" w:hAnsi="Times New Roman" w:cs="Times New Roman" w:eastAsia="Times New Roman"/>
          <w:b w:val="0"/>
          <w:i w:val="0"/>
          <w:sz w:val="24"/>
        </w:rPr>
        <w:t>Short communication</w:t>
      </w:r>
    </w:p>
    <w:p>
      <w:pPr>
        <w:spacing w:line="240" w:lineRule="auto" w:before="0" w:after="40"/>
        <w:jc w:val="center"/>
      </w:pPr>
      <w:r>
        <w:rPr>
          <w:rFonts w:ascii="Times New Roman" w:hAnsi="Times New Roman" w:cs="Times New Roman" w:eastAsia="Times New Roman"/>
          <w:b w:val="0"/>
          <w:i w:val="0"/>
          <w:sz w:val="24"/>
        </w:rPr>
        <w:t>Sai Vignesh Akkineni</w:t>
      </w:r>
    </w:p>
    <w:p>
      <w:pPr>
        <w:spacing w:line="240" w:lineRule="auto" w:before="0" w:after="40"/>
        <w:jc w:val="center"/>
      </w:pPr>
      <w:r>
        <w:rPr>
          <w:rFonts w:ascii="Times New Roman" w:hAnsi="Times New Roman" w:cs="Times New Roman" w:eastAsia="Times New Roman"/>
          <w:b w:val="0"/>
          <w:i w:val="0"/>
          <w:sz w:val="24"/>
        </w:rPr>
        <w:t>Doctor of Business Administration candidate</w:t>
      </w:r>
    </w:p>
    <w:p>
      <w:pPr>
        <w:spacing w:line="240" w:lineRule="auto" w:before="0" w:after="40"/>
        <w:jc w:val="center"/>
      </w:pPr>
      <w:r>
        <w:rPr>
          <w:rFonts w:ascii="Times New Roman" w:hAnsi="Times New Roman" w:cs="Times New Roman" w:eastAsia="Times New Roman"/>
          <w:b w:val="0"/>
          <w:i w:val="0"/>
          <w:sz w:val="24"/>
        </w:rPr>
        <w:t>Corresponding author. Email: saivigneshakkineni2@gmail.com</w:t>
      </w:r>
    </w:p>
    <w:p>
      <w:pPr>
        <w:spacing w:line="240" w:lineRule="auto" w:before="0" w:after="40"/>
        <w:jc w:val="center"/>
      </w:pPr>
      <w:r>
        <w:rPr>
          <w:rFonts w:ascii="Times New Roman" w:hAnsi="Times New Roman" w:cs="Times New Roman" w:eastAsia="Times New Roman"/>
          <w:b w:val="0"/>
          <w:i w:val="0"/>
          <w:sz w:val="24"/>
        </w:rPr>
        <w:t>The institutional affiliation and postal address required on a Knowledge-Based Systems title page are not entered in this file.</w:t>
      </w:r>
    </w:p>
    <w:p>
      <w:pPr>
        <w:spacing w:line="240" w:lineRule="auto" w:before="0" w:after="120"/>
        <w:jc w:val="both"/>
      </w:pPr>
    </w:p>
    <w:p>
      <w:pPr>
        <w:spacing w:line="480" w:lineRule="auto" w:before="240" w:after="120"/>
        <w:jc w:val="left"/>
      </w:pPr>
      <w:r>
        <w:rPr>
          <w:rFonts w:ascii="Times New Roman" w:hAnsi="Times New Roman" w:cs="Times New Roman" w:eastAsia="Times New Roman"/>
          <w:b/>
          <w:i w:val="0"/>
          <w:sz w:val="26"/>
        </w:rPr>
        <w:t>Highlights</w:t>
      </w:r>
    </w:p>
    <w:p>
      <w:pPr>
        <w:spacing w:line="480" w:lineRule="auto" w:before="0" w:after="40"/>
        <w:ind w:left="504"/>
        <w:jc w:val="left"/>
      </w:pPr>
      <w:r>
        <w:rPr>
          <w:rFonts w:ascii="Times New Roman" w:hAnsi="Times New Roman" w:cs="Times New Roman" w:eastAsia="Times New Roman"/>
          <w:b w:val="0"/>
          <w:i w:val="0"/>
          <w:sz w:val="24"/>
        </w:rPr>
        <w:t>•  Readiness is scored from innovation routines, not digital spend.</w:t>
      </w:r>
    </w:p>
    <w:p>
      <w:pPr>
        <w:spacing w:line="480" w:lineRule="auto" w:before="0" w:after="40"/>
        <w:ind w:left="504"/>
        <w:jc w:val="left"/>
      </w:pPr>
      <w:r>
        <w:rPr>
          <w:rFonts w:ascii="Times New Roman" w:hAnsi="Times New Roman" w:cs="Times New Roman" w:eastAsia="Times New Roman"/>
          <w:b w:val="0"/>
          <w:i w:val="0"/>
          <w:sz w:val="24"/>
        </w:rPr>
        <w:t>•  A flexible score outranks six explicit knowledge rules.</w:t>
      </w:r>
    </w:p>
    <w:p>
      <w:pPr>
        <w:spacing w:line="480" w:lineRule="auto" w:before="0" w:after="40"/>
        <w:ind w:left="504"/>
        <w:jc w:val="left"/>
      </w:pPr>
      <w:r>
        <w:rPr>
          <w:rFonts w:ascii="Times New Roman" w:hAnsi="Times New Roman" w:cs="Times New Roman" w:eastAsia="Times New Roman"/>
          <w:b w:val="0"/>
          <w:i w:val="0"/>
          <w:sz w:val="24"/>
        </w:rPr>
        <w:t>•  Blending the two probabilities does not improve the score.</w:t>
      </w:r>
    </w:p>
    <w:p>
      <w:pPr>
        <w:spacing w:line="480" w:lineRule="auto" w:before="0" w:after="40"/>
        <w:ind w:left="504"/>
        <w:jc w:val="left"/>
      </w:pPr>
      <w:r>
        <w:rPr>
          <w:rFonts w:ascii="Times New Roman" w:hAnsi="Times New Roman" w:cs="Times New Roman" w:eastAsia="Times New Roman"/>
          <w:b w:val="0"/>
          <w:i w:val="0"/>
          <w:sz w:val="24"/>
        </w:rPr>
        <w:t>•  Hold, Develop, and Prioritize separate realized readiness.</w:t>
      </w:r>
    </w:p>
    <w:p>
      <w:pPr>
        <w:spacing w:line="480" w:lineRule="auto" w:before="0" w:after="40"/>
        <w:ind w:left="504"/>
        <w:jc w:val="left"/>
      </w:pPr>
      <w:r>
        <w:rPr>
          <w:rFonts w:ascii="Times New Roman" w:hAnsi="Times New Roman" w:cs="Times New Roman" w:eastAsia="Times New Roman"/>
          <w:b w:val="0"/>
          <w:i w:val="0"/>
          <w:sz w:val="24"/>
        </w:rPr>
        <w:t>•  Each band names one missing routine for the next spend.</w:t>
      </w:r>
    </w:p>
    <w:p>
      <w:pPr>
        <w:spacing w:line="480" w:lineRule="auto" w:before="240" w:after="120"/>
        <w:jc w:val="left"/>
      </w:pPr>
      <w:r>
        <w:rPr>
          <w:rFonts w:ascii="Times New Roman" w:hAnsi="Times New Roman" w:cs="Times New Roman" w:eastAsia="Times New Roman"/>
          <w:b/>
          <w:i w:val="0"/>
          <w:sz w:val="26"/>
        </w:rPr>
        <w:t>Abstract</w:t>
      </w:r>
    </w:p>
    <w:p>
      <w:pPr>
        <w:spacing w:line="480" w:lineRule="auto" w:before="0" w:after="120"/>
        <w:jc w:val="both"/>
      </w:pPr>
      <w:r>
        <w:rPr>
          <w:rFonts w:ascii="Times New Roman" w:hAnsi="Times New Roman" w:cs="Times New Roman" w:eastAsia="Times New Roman"/>
          <w:b w:val="0"/>
          <w:i w:val="0"/>
          <w:sz w:val="24"/>
        </w:rPr>
        <w:t>The purpose of this Short Communication is to test whether an enterprise innovation record can support a decision to hold, develop, or prioritize a digital offer. KAID, a knowledge-based AI decision-support model, scores six knowledge routines and uses an AI layer (gradient boosting) to estimate the probability of digital-transformation readiness from the same innovation items. The readiness label is built only from digital markers (a website, an informatics and systems department, and software, hardware, and information and communication technology (ICT) innovation expenditure), and those markers are excluded from the predictors. On the public Latin American innovation surveys, 14,663 firm-years from 12,070 enterprises, logistic regression reaches a holdout area under the receiver-operating curve (AUC) of 0.873, the knowledge layer 0.854, and the AI layer 0.891 (95% enterprise-bootstrap interval 0.879–0.903). The AI layer exceeds the knowledge layer by 0.038 AUC and the logistic model by 0.018 AUC; both intervals exclude zero (p &lt; 0.001). Blending the knowledge probability into the AI-layer probability, with the training weight on the AI layer equal to 0.95, does not improve on the AI layer (difference −0.0002; 95% interval −0.0006 to 0.0001; p = 0.223). On the holdout, 4.0% of Hold firm-years are ready (95% interval 3.1–5.0), 38.4% of Develop firm-years are ready (33.9–42.5), and 64.5% of Prioritize firm-years are ready (60.7–68.2). The missing routine is process innovation in Hold, training in Develop, and knowledge creation in Prioritize.</w:t>
      </w:r>
    </w:p>
    <w:p>
      <w:pPr>
        <w:spacing w:line="480" w:lineRule="auto" w:before="160" w:after="120"/>
        <w:jc w:val="left"/>
      </w:pP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val="0"/>
          <w:sz w:val="24"/>
        </w:rPr>
        <w:t>knowledge-based systems; artificial intelligence; enterprise innovation data; digital transformation; decision support; data-centric business models; entrepreneurship</w:t>
      </w:r>
    </w:p>
    <w:p>
      <w:pPr>
        <w:spacing w:line="480" w:lineRule="auto" w:before="240" w:after="120"/>
        <w:jc w:val="left"/>
      </w:pPr>
      <w:r>
        <w:rPr>
          <w:rFonts w:ascii="Times New Roman" w:hAnsi="Times New Roman" w:cs="Times New Roman" w:eastAsia="Times New Roman"/>
          <w:b/>
          <w:i w:val="0"/>
          <w:sz w:val="26"/>
        </w:rPr>
        <w:t>1. Introduction</w:t>
      </w:r>
    </w:p>
    <w:p>
      <w:pPr>
        <w:spacing w:line="480" w:lineRule="auto" w:before="0" w:after="120"/>
        <w:jc w:val="both"/>
      </w:pPr>
      <w:r>
        <w:rPr>
          <w:rFonts w:ascii="Times New Roman" w:hAnsi="Times New Roman" w:cs="Times New Roman" w:eastAsia="Times New Roman"/>
          <w:b w:val="0"/>
          <w:i w:val="0"/>
          <w:sz w:val="24"/>
        </w:rPr>
        <w:t>Digital transformation is a change in how a firm creates value, not a purchase of software [1–3]. Data-centric business models depend on an offer a customer will pay for [4]. Digital entrepreneurship is the decision to pursue that offer [5]. Analytics-capability studies find the association with performance running through dynamic, operational, or entrepreneurial capabilities, and through the management of the analytics capability itself [6–10]. Platform studies of cross-border e-commerce likewise place data elements inside the link from transformation to enterprise performance [11]. Among born-digital small and medium-sized enterprises, performance has been associated with dynamic capabilities and collaborative innovation rather than with possession of the technology alone [12].</w:t>
      </w:r>
    </w:p>
    <w:p>
      <w:pPr>
        <w:spacing w:line="480" w:lineRule="auto" w:before="0" w:after="120"/>
        <w:jc w:val="both"/>
      </w:pPr>
      <w:r>
        <w:rPr>
          <w:rFonts w:ascii="Times New Roman" w:hAnsi="Times New Roman" w:cs="Times New Roman" w:eastAsia="Times New Roman"/>
          <w:b w:val="0"/>
          <w:i w:val="0"/>
          <w:sz w:val="24"/>
        </w:rPr>
        <w:t>The knowledge-based view treats the firm as an institution that integrates specialist knowledge into a routine that can be used [13–14]. An artificial-intelligence output is another specialist product. Reviews of artificial intelligence in innovation management treat the model as an input to the innovation process [15–16], and the conversion of an AI capability into a business model is described as a co-evolutionary process [17]. The output changes what the firm sells only when the surrounding routines can carry it [18–19]. Case and review work describes digital transformation itself as a continuing renewal of dynamic capabilities [20–22]. Readiness for that renewal is discussed as a multidimensional state, covering technological resources, business processes, management capability, human capability, and culture, and it is not settled by a single technology indicator [23]. The same literature links transformation to the balance of exploitative and exploratory innovation [24] and frames it as a springboard for product, process, and business-model innovation, including servitization of a product firm [25–27]. Field maps of that joint literature are already large [28–29]. A multidisciplinary agenda for artificial intelligence asks for organizational consequences, not only for a higher score [30], and adoption studies in manufacturing locate take-up in technological, organizational, and environmental conditions [31].</w:t>
      </w:r>
    </w:p>
    <w:p>
      <w:pPr>
        <w:spacing w:line="480" w:lineRule="auto" w:before="0" w:after="120"/>
        <w:jc w:val="both"/>
      </w:pPr>
      <w:r>
        <w:rPr>
          <w:rFonts w:ascii="Times New Roman" w:hAnsi="Times New Roman" w:cs="Times New Roman" w:eastAsia="Times New Roman"/>
          <w:b w:val="0"/>
          <w:i w:val="0"/>
          <w:sz w:val="24"/>
        </w:rPr>
        <w:t>The stake is the next budget. A firm can add a website, a systems department, or a software line and still have no routine that carries a new offer. Counting those markers again as predictors would only rediscover the purchase. The studies cited above map the transformation, the capability path, or the readiness construct. None of them reports the comparison a budget decision needs: a holdout in which the digital markers are the label only, a transparent rule score is set against logistic regression and gradient boosting on enterprises that do not cross the split, and each probability band names the innovation routine that separates it. This Short Communication supplies that comparison. Section 2 defines the label, the rules, and the scores. Section 3 reports which score carries the probability. Section 4 states what a manager can do with that ranking. Section 5 records the limits of the label and the split. Section 6 states the decision the holdout supports. The holdout, not the design, decides whether the knowledge layer, the AI layer, or a blend of the two is the better probability.</w:t>
      </w:r>
    </w:p>
    <w:p>
      <w:pPr>
        <w:spacing w:line="480" w:lineRule="auto" w:before="0" w:after="120"/>
        <w:jc w:val="both"/>
      </w:pPr>
      <w:r>
        <w:rPr>
          <w:rFonts w:ascii="Times New Roman" w:hAnsi="Times New Roman" w:cs="Times New Roman" w:eastAsia="Times New Roman"/>
          <w:b w:val="0"/>
          <w:i w:val="0"/>
          <w:sz w:val="24"/>
        </w:rPr>
        <w:t>This paper proposes KAID, a knowledge-based AI decision-support model for that comparison. Unlike a classifier that stops at a probability, KAID keeps the routines visible. For Hold and Develop it names the common routine whose absence most exceeds that routine’s absence in Prioritize. For Prioritize it names the common routine most often still absent. The contribution is threefold, and each part is bounded by the test. First, a readiness label is constructed only from digital markers, so the innovation predictors are not scored against themselves. Second, an explicit six-rule knowledge layer is coupled to gradient boosting, with the coupling weight chosen on training data and then frozen. Third, an enterprise-level holdout reports a linear baseline, bootstrap intervals, and paired contrasts, so a claim that one layer adds something can be checked. The originality is that separation of roles. A gain from averaging the two scores would be a further result. Section 3 finds no such gain.</w:t>
      </w:r>
    </w:p>
    <w:p>
      <w:pPr>
        <w:spacing w:line="480" w:lineRule="auto" w:before="240" w:after="120"/>
        <w:jc w:val="left"/>
      </w:pPr>
      <w:r>
        <w:rPr>
          <w:rFonts w:ascii="Times New Roman" w:hAnsi="Times New Roman" w:cs="Times New Roman" w:eastAsia="Times New Roman"/>
          <w:b/>
          <w:i w:val="0"/>
          <w:sz w:val="26"/>
        </w:rPr>
        <w:t>2. Methodology</w:t>
      </w:r>
    </w:p>
    <w:p>
      <w:pPr>
        <w:spacing w:line="480" w:lineRule="auto" w:before="0" w:after="120"/>
        <w:jc w:val="both"/>
      </w:pPr>
      <w:r>
        <w:rPr>
          <w:rFonts w:ascii="Times New Roman" w:hAnsi="Times New Roman" w:cs="Times New Roman" w:eastAsia="Times New Roman"/>
          <w:b w:val="0"/>
          <w:i w:val="0"/>
          <w:sz w:val="24"/>
        </w:rPr>
        <w:t>The design follows the gap in Section 1. The label is built only from digital markers, so the innovation record is not scored against itself. The knowledge layer stays a short list of routines a manager can read. The weight that blends that list with the boosting probability is chosen on training enterprises and then frozen, so the holdout can reject the blend.</w:t>
      </w:r>
    </w:p>
    <w:p>
      <w:pPr>
        <w:spacing w:line="480" w:lineRule="auto" w:before="200" w:after="80"/>
        <w:jc w:val="left"/>
      </w:pPr>
      <w:r>
        <w:rPr>
          <w:rFonts w:ascii="Times New Roman" w:hAnsi="Times New Roman" w:cs="Times New Roman" w:eastAsia="Times New Roman"/>
          <w:b/>
          <w:i/>
          <w:sz w:val="24"/>
        </w:rPr>
        <w:t>2.1 Readiness label</w:t>
      </w:r>
    </w:p>
    <w:p>
      <w:pPr>
        <w:spacing w:line="480" w:lineRule="auto" w:before="0" w:after="120"/>
        <w:jc w:val="both"/>
      </w:pPr>
      <w:r>
        <w:rPr>
          <w:rFonts w:ascii="Times New Roman" w:hAnsi="Times New Roman" w:cs="Times New Roman" w:eastAsia="Times New Roman"/>
          <w:b w:val="0"/>
          <w:i w:val="0"/>
          <w:sz w:val="24"/>
        </w:rPr>
        <w:t>Let firm-year i have a set M_i of digital markers that the survey actually asked. The five markers are a website, a formal informatics and systems department, software innovation expenditure, hardware innovation expenditure, and information and communication technology (ICT) innovation expenditure. Each observed marker d_im equals 1 when the firm reports it and 0 otherwise. The label is given by Eq. (1):</w:t>
      </w:r>
    </w:p>
    <w:p>
      <w:pPr>
        <w:spacing w:line="240" w:lineRule="auto" w:before="120" w:after="120"/>
        <w:jc w:val="center"/>
      </w:pPr>
      <w:r>
        <w:rPr>
          <w:rFonts w:ascii="Times New Roman" w:hAnsi="Times New Roman" w:cs="Times New Roman" w:eastAsia="Times New Roman"/>
          <w:b w:val="0"/>
          <w:i/>
          <w:sz w:val="24"/>
        </w:rPr>
        <w:t>yᵢ = 1{ |Mᵢ| ≥ 3  and  (1/|Mᵢ|) Σₘ∈Mᵢ dᵢₘ ≥ 0.5 }          (1)</w:t>
      </w:r>
    </w:p>
    <w:p>
      <w:pPr>
        <w:spacing w:line="480" w:lineRule="auto" w:before="0" w:after="120"/>
        <w:jc w:val="both"/>
      </w:pPr>
      <w:r>
        <w:rPr>
          <w:rFonts w:ascii="Times New Roman" w:hAnsi="Times New Roman" w:cs="Times New Roman" w:eastAsia="Times New Roman"/>
          <w:b w:val="0"/>
          <w:i w:val="0"/>
          <w:sz w:val="24"/>
        </w:rPr>
        <w:t>Firm-years with fewer than three observed markers are excluded, because the label is not identified. The markers in M_i are not used as predictors. A model that predicted digital spend from digital spend would not be a test of the innovation record.</w:t>
      </w:r>
    </w:p>
    <w:p>
      <w:pPr>
        <w:spacing w:line="480" w:lineRule="auto" w:before="200" w:after="80"/>
        <w:jc w:val="left"/>
      </w:pPr>
      <w:r>
        <w:rPr>
          <w:rFonts w:ascii="Times New Roman" w:hAnsi="Times New Roman" w:cs="Times New Roman" w:eastAsia="Times New Roman"/>
          <w:b/>
          <w:i/>
          <w:sz w:val="24"/>
        </w:rPr>
        <w:t>2.2 Knowledge-rule layer</w:t>
      </w:r>
    </w:p>
    <w:p>
      <w:pPr>
        <w:spacing w:line="480" w:lineRule="auto" w:before="0" w:after="120"/>
        <w:jc w:val="both"/>
      </w:pPr>
      <w:r>
        <w:rPr>
          <w:rFonts w:ascii="Times New Roman" w:hAnsi="Times New Roman" w:cs="Times New Roman" w:eastAsia="Times New Roman"/>
          <w:b w:val="0"/>
          <w:i w:val="0"/>
          <w:sz w:val="24"/>
        </w:rPr>
        <w:t>The knowledge layer is a production-rule base R = {r1, …, r6}, evaluated once per firm-year. A rule fires when any of its observed survey items equals 1. If every item for that rule is missing, the rule is missing and is left out of the share. The six rules, in the order used by the code, are knowledge creation (in-house R&amp;D expenditure or a formal R&amp;D department), external knowledge (external R&amp;D expenditure), training for innovation, organizational integration (organizational innovation), product innovation, and process innovation. Innovation items follow the Oslo Manual [32].</w:t>
      </w:r>
    </w:p>
    <w:p>
      <w:pPr>
        <w:spacing w:line="480" w:lineRule="auto" w:before="0" w:after="120"/>
        <w:jc w:val="both"/>
      </w:pPr>
      <w:r>
        <w:rPr>
          <w:rFonts w:ascii="Times New Roman" w:hAnsi="Times New Roman" w:cs="Times New Roman" w:eastAsia="Times New Roman"/>
          <w:b w:val="0"/>
          <w:i w:val="0"/>
          <w:sz w:val="24"/>
        </w:rPr>
        <w:t>Let f_{ir} equal 1 when rule r fires for firm-year i and 0 when the rule is observed and does not fire. Let R_i be the set of rules with at least one observed item. In this estimation sample every retained firm-year has all six rules observed, so |R_i| = 6 throughout. The raw knowledge score is the share of those rules that fire, given by Eq. (2),</w:t>
      </w:r>
    </w:p>
    <w:p>
      <w:pPr>
        <w:spacing w:line="240" w:lineRule="auto" w:before="120" w:after="120"/>
        <w:jc w:val="center"/>
      </w:pPr>
      <w:r>
        <w:rPr>
          <w:rFonts w:ascii="Times New Roman" w:hAnsi="Times New Roman" w:cs="Times New Roman" w:eastAsia="Times New Roman"/>
          <w:b w:val="0"/>
          <w:i/>
          <w:sz w:val="24"/>
        </w:rPr>
        <w:t>Sᵢ⁰ = (1/|Rᵢ|) Σᵣ∈Rᵢ fᵢᵣ          (2)</w:t>
      </w:r>
    </w:p>
    <w:p>
      <w:pPr>
        <w:spacing w:line="480" w:lineRule="auto" w:before="0" w:after="120"/>
        <w:jc w:val="both"/>
      </w:pPr>
      <w:r>
        <w:rPr>
          <w:rFonts w:ascii="Times New Roman" w:hAnsi="Times New Roman" w:cs="Times New Roman" w:eastAsia="Times New Roman"/>
          <w:b w:val="0"/>
          <w:i w:val="0"/>
          <w:sz w:val="24"/>
        </w:rPr>
        <w:t>and a training-only isotonic map g(·) converts that share into a probability S_i = g(S_i^0). The map is an isotonic regression of the readiness label on S^0, clipped to the unit interval. The regression is fitted on training enterprises and applied unchanged to the holdout. External R&amp;D fires for only 6.0% of the estimation sample. It remains inside the knowledge score. It is excluded from the named-routine comparison, because a rule that rare is absent in every band and would dominate that comparison for a mechanical reason.</w:t>
      </w:r>
    </w:p>
    <w:p>
      <w:pPr>
        <w:spacing w:line="480" w:lineRule="auto" w:before="0" w:after="120"/>
        <w:jc w:val="both"/>
      </w:pPr>
      <w:r>
        <w:rPr>
          <w:rFonts w:ascii="Times New Roman" w:hAnsi="Times New Roman" w:cs="Times New Roman" w:eastAsia="Times New Roman"/>
          <w:b w:val="0"/>
          <w:i w:val="0"/>
          <w:sz w:val="24"/>
        </w:rPr>
        <w:t>Two candidate rules were specified and then removed from the main model. Innovation cooperation was not asked in 39% of estimation-sample firm-years, and the internet as an information source was not asked in 51%. Where cooperation was not asked, 0.07% of firm-years were coded ready. Where the internet item was not asked, 2.8% were coded ready. Using those gaps would have scored the questionnaire. Section 3 reports what cooperation adds on the subset where the question was fielded.</w:t>
      </w:r>
    </w:p>
    <w:p>
      <w:pPr>
        <w:spacing w:line="480" w:lineRule="auto" w:before="200" w:after="80"/>
        <w:jc w:val="left"/>
      </w:pPr>
      <w:r>
        <w:rPr>
          <w:rFonts w:ascii="Times New Roman" w:hAnsi="Times New Roman" w:cs="Times New Roman" w:eastAsia="Times New Roman"/>
          <w:b/>
          <w:i/>
          <w:sz w:val="24"/>
        </w:rPr>
        <w:t>2.3 AI layer and the decision score</w:t>
      </w:r>
    </w:p>
    <w:p>
      <w:pPr>
        <w:spacing w:line="480" w:lineRule="auto" w:before="0" w:after="120"/>
        <w:jc w:val="both"/>
      </w:pPr>
      <w:r>
        <w:rPr>
          <w:rFonts w:ascii="Times New Roman" w:hAnsi="Times New Roman" w:cs="Times New Roman" w:eastAsia="Times New Roman"/>
          <w:b w:val="0"/>
          <w:i w:val="0"/>
          <w:sz w:val="24"/>
        </w:rPr>
        <w:t>The AI layer is a histogram gradient-boosting classifier in the gradient-boosting family [33]. Its inputs are the survey items inside the six rules, plus marketing innovation, foreign ownership, group membership, log(1 + employment), country, year, and sector. The fitted model uses trees of depth 4, a learning rate of 0.06, at most 400 iterations, an L2 penalty of 1.0, and at least 40 observations in a leaf. Early stopping holds out 15% of the rows inside the sample being fitted and stops after 20 rounds without improvement. That internal split is not the enterprise holdout, and it does not choose w. Missing numeric answers stay missing, so a tree may split on missingness for items that were asked of nearly every firm. Country, year, and sector are one-hot encoded from the rows of the current fit only. No class weight is applied. The probabilities are left on the scale of the outcome.</w:t>
      </w:r>
    </w:p>
    <w:p>
      <w:pPr>
        <w:spacing w:line="480" w:lineRule="auto" w:before="0" w:after="120"/>
        <w:jc w:val="both"/>
      </w:pPr>
      <w:r>
        <w:rPr>
          <w:rFonts w:ascii="Times New Roman" w:hAnsi="Times New Roman" w:cs="Times New Roman" w:eastAsia="Times New Roman"/>
          <w:b w:val="0"/>
          <w:i w:val="0"/>
          <w:sz w:val="24"/>
        </w:rPr>
        <w:t>Let P_i be the boosting probability. The KAID score is given by Eq. (3),</w:t>
      </w:r>
    </w:p>
    <w:p>
      <w:pPr>
        <w:spacing w:line="240" w:lineRule="auto" w:before="120" w:after="120"/>
        <w:jc w:val="center"/>
      </w:pPr>
      <w:r>
        <w:rPr>
          <w:rFonts w:ascii="Times New Roman" w:hAnsi="Times New Roman" w:cs="Times New Roman" w:eastAsia="Times New Roman"/>
          <w:b w:val="0"/>
          <w:i/>
          <w:sz w:val="24"/>
        </w:rPr>
        <w:t>Kᵢ = wPᵢ + (1 − w)Sᵢ          (3)</w:t>
      </w:r>
    </w:p>
    <w:p>
      <w:pPr>
        <w:spacing w:line="480" w:lineRule="auto" w:before="0" w:after="120"/>
        <w:jc w:val="both"/>
      </w:pPr>
      <w:r>
        <w:rPr>
          <w:rFonts w:ascii="Times New Roman" w:hAnsi="Times New Roman" w:cs="Times New Roman" w:eastAsia="Times New Roman"/>
          <w:b w:val="0"/>
          <w:i w:val="0"/>
          <w:sz w:val="24"/>
        </w:rPr>
        <w:t>where w is chosen on out-of-fold predictions inside the training sample to minimize the Brier score, then frozen. The search is the grid {0, 0.05, …, 1}. The holdout is not used to pick w, and the band in Eq. (4) is a function of K_i, not of P_i alone. Firms are not classified by maximizing F1. They are placed with two cuts fixed before the holdout is opened. Let π be the training readiness rate. The band is given by Eq. (4):</w:t>
      </w:r>
    </w:p>
    <w:p>
      <w:pPr>
        <w:spacing w:line="240" w:lineRule="auto" w:before="120" w:after="120"/>
        <w:jc w:val="center"/>
      </w:pPr>
      <w:r>
        <w:rPr>
          <w:rFonts w:ascii="Times New Roman" w:hAnsi="Times New Roman" w:cs="Times New Roman" w:eastAsia="Times New Roman"/>
          <w:b w:val="0"/>
          <w:i/>
          <w:sz w:val="24"/>
        </w:rPr>
        <w:t>band(Kᵢ) =  Hold if Kᵢ &lt; π;   Develop if π ≤ Kᵢ &lt; 0.50;   Prioritize if Kᵢ ≥ 0.50.          (4)</w:t>
      </w:r>
    </w:p>
    <w:p>
      <w:pPr>
        <w:spacing w:line="480" w:lineRule="auto" w:before="0" w:after="120"/>
        <w:jc w:val="both"/>
      </w:pPr>
      <w:r>
        <w:rPr>
          <w:rFonts w:ascii="Times New Roman" w:hAnsi="Times New Roman" w:cs="Times New Roman" w:eastAsia="Times New Roman"/>
          <w:b w:val="0"/>
          <w:i w:val="0"/>
          <w:sz w:val="24"/>
        </w:rPr>
        <w:t>Hold means the score is below the training readiness rate. Prioritize means the model assigns a probability of at least one half, in a sample where about one firm-year in four is ready. Develop is the interval between those cuts. For Hold and Develop, the reported routine is the common routine whose absence most exceeds its absence among Prioritize firms. For Prioritize, it is the common routine most often still absent. A routine is common when it fires for at least 15% of the estimation sample.</w:t>
      </w:r>
    </w:p>
    <w:p>
      <w:pPr>
        <w:spacing w:line="480" w:lineRule="auto" w:before="160" w:after="80"/>
        <w:jc w:val="left"/>
      </w:pPr>
      <w:r>
        <w:rPr>
          <w:rFonts w:ascii="Times New Roman" w:hAnsi="Times New Roman" w:cs="Times New Roman" w:eastAsia="Times New Roman"/>
          <w:b/>
          <w:i w:val="0"/>
          <w:sz w:val="24"/>
        </w:rPr>
        <w:t xml:space="preserve">Algorithm 1. </w:t>
      </w:r>
      <w:r>
        <w:rPr>
          <w:rFonts w:ascii="Times New Roman" w:hAnsi="Times New Roman" w:cs="Times New Roman" w:eastAsia="Times New Roman"/>
          <w:b w:val="0"/>
          <w:i w:val="0"/>
          <w:sz w:val="24"/>
        </w:rPr>
        <w:t>KAID Decision</w:t>
      </w:r>
    </w:p>
    <w:p>
      <w:pPr>
        <w:spacing w:line="480" w:lineRule="auto" w:before="0" w:after="120"/>
        <w:jc w:val="both"/>
      </w:pPr>
      <w:r>
        <w:rPr>
          <w:rFonts w:ascii="Times New Roman" w:hAnsi="Times New Roman" w:cs="Times New Roman" w:eastAsia="Times New Roman"/>
          <w:b w:val="0"/>
          <w:i w:val="0"/>
          <w:sz w:val="24"/>
        </w:rPr>
        <w:t>Input: enterprise innovation record; digital markers held out of the record; training enterprises.</w:t>
      </w:r>
    </w:p>
    <w:p>
      <w:pPr>
        <w:spacing w:line="480" w:lineRule="auto" w:before="0" w:after="120"/>
        <w:jc w:val="both"/>
      </w:pPr>
      <w:r>
        <w:rPr>
          <w:rFonts w:ascii="Times New Roman" w:hAnsi="Times New Roman" w:cs="Times New Roman" w:eastAsia="Times New Roman"/>
          <w:b w:val="0"/>
          <w:i w:val="0"/>
          <w:sz w:val="24"/>
        </w:rPr>
        <w:t>Output: band and the routine the band points to.</w:t>
      </w:r>
    </w:p>
    <w:p>
      <w:pPr>
        <w:spacing w:line="480" w:lineRule="auto" w:before="0" w:after="40"/>
        <w:ind w:left="432"/>
        <w:jc w:val="left"/>
      </w:pPr>
      <w:r>
        <w:rPr>
          <w:rFonts w:ascii="Times New Roman" w:hAnsi="Times New Roman" w:cs="Times New Roman" w:eastAsia="Times New Roman"/>
          <w:b w:val="0"/>
          <w:i w:val="0"/>
          <w:sz w:val="24"/>
        </w:rPr>
        <w:t>1: Drop any firm-year with fewer than three observed digital markers, and set y_i by Eq. (1).</w:t>
      </w:r>
    </w:p>
    <w:p>
      <w:pPr>
        <w:spacing w:line="480" w:lineRule="auto" w:before="0" w:after="40"/>
        <w:ind w:left="432"/>
        <w:jc w:val="left"/>
      </w:pPr>
      <w:r>
        <w:rPr>
          <w:rFonts w:ascii="Times New Roman" w:hAnsi="Times New Roman" w:cs="Times New Roman" w:eastAsia="Times New Roman"/>
          <w:b w:val="0"/>
          <w:i w:val="0"/>
          <w:sz w:val="24"/>
        </w:rPr>
        <w:t>2: Split enterprises, not firm-years, into training and holdout. No enterprise enters both.</w:t>
      </w:r>
    </w:p>
    <w:p>
      <w:pPr>
        <w:spacing w:line="480" w:lineRule="auto" w:before="0" w:after="40"/>
        <w:ind w:left="432"/>
        <w:jc w:val="left"/>
      </w:pPr>
      <w:r>
        <w:rPr>
          <w:rFonts w:ascii="Times New Roman" w:hAnsi="Times New Roman" w:cs="Times New Roman" w:eastAsia="Times New Roman"/>
          <w:b w:val="0"/>
          <w:i w:val="0"/>
          <w:sz w:val="24"/>
        </w:rPr>
        <w:t>3: On five enterprise-grouped folds of the training sample, fit g and the boosting model. Choose w in Eq. (3) on those out-of-fold scores.</w:t>
      </w:r>
    </w:p>
    <w:p>
      <w:pPr>
        <w:spacing w:line="480" w:lineRule="auto" w:before="0" w:after="40"/>
        <w:ind w:left="432"/>
        <w:jc w:val="left"/>
      </w:pPr>
      <w:r>
        <w:rPr>
          <w:rFonts w:ascii="Times New Roman" w:hAnsi="Times New Roman" w:cs="Times New Roman" w:eastAsia="Times New Roman"/>
          <w:b w:val="0"/>
          <w:i w:val="0"/>
          <w:sz w:val="24"/>
        </w:rPr>
        <w:t>4: Refit g and the boosting model on all training enterprises. Freeze w. The holdout is not used in steps 3 or 4.</w:t>
      </w:r>
    </w:p>
    <w:p>
      <w:pPr>
        <w:spacing w:line="480" w:lineRule="auto" w:before="0" w:after="40"/>
        <w:ind w:left="432"/>
        <w:jc w:val="left"/>
      </w:pPr>
      <w:r>
        <w:rPr>
          <w:rFonts w:ascii="Times New Roman" w:hAnsi="Times New Roman" w:cs="Times New Roman" w:eastAsia="Times New Roman"/>
          <w:b w:val="0"/>
          <w:i w:val="0"/>
          <w:sz w:val="24"/>
        </w:rPr>
        <w:t>5: Score each holdout firm-year with Eq. (3) and assign the band in Eq. (4).</w:t>
      </w:r>
    </w:p>
    <w:p>
      <w:pPr>
        <w:spacing w:line="480" w:lineRule="auto" w:before="0" w:after="40"/>
        <w:ind w:left="432"/>
        <w:jc w:val="left"/>
      </w:pPr>
      <w:r>
        <w:rPr>
          <w:rFonts w:ascii="Times New Roman" w:hAnsi="Times New Roman" w:cs="Times New Roman" w:eastAsia="Times New Roman"/>
          <w:b w:val="0"/>
          <w:i w:val="0"/>
          <w:sz w:val="24"/>
        </w:rPr>
        <w:t>6: For Hold and Develop, name the common routine whose absence most exceeds its absence in Prioritize. For Prioritize, name the common routine most often still absent. Use only routines that fire for at least 15% of firm-years.</w:t>
      </w:r>
    </w:p>
    <w:p>
      <w:pPr>
        <w:spacing w:line="480" w:lineRule="auto" w:before="0" w:after="40"/>
        <w:ind w:left="432"/>
        <w:jc w:val="left"/>
      </w:pPr>
      <w:r>
        <w:rPr>
          <w:rFonts w:ascii="Times New Roman" w:hAnsi="Times New Roman" w:cs="Times New Roman" w:eastAsia="Times New Roman"/>
          <w:b w:val="0"/>
          <w:i w:val="0"/>
          <w:sz w:val="24"/>
        </w:rPr>
        <w:t>7: Return the band, the score, and the named routine.</w:t>
      </w:r>
    </w:p>
    <w:p>
      <w:pPr>
        <w:spacing w:line="480" w:lineRule="auto" w:before="0" w:after="120"/>
        <w:jc w:val="both"/>
      </w:pPr>
      <w:r>
        <w:rPr>
          <w:rFonts w:ascii="Times New Roman" w:hAnsi="Times New Roman" w:cs="Times New Roman" w:eastAsia="Times New Roman"/>
          <w:b w:val="0"/>
          <w:i w:val="0"/>
          <w:sz w:val="24"/>
        </w:rPr>
        <w:t xml:space="preserve">The holdout split, the AI-layer fit, the logistic fit, and the AUC bootstrap use seed 42. The band-rate bootstrap uses seed 43. The five training folds follow the enterprise groups and use no additional random seed. Running the accompanying code rebuilds </w:t>
      </w:r>
      <w:r>
        <w:rPr>
          <w:rFonts w:ascii="Consolas" w:hAnsi="Consolas" w:cs="Consolas" w:eastAsia="Consolas"/>
          <w:b w:val="0"/>
          <w:i w:val="0"/>
          <w:sz w:val="22"/>
        </w:rPr>
        <w:t>results.json</w:t>
      </w:r>
      <w:r>
        <w:rPr>
          <w:rFonts w:ascii="Times New Roman" w:hAnsi="Times New Roman" w:cs="Times New Roman" w:eastAsia="Times New Roman"/>
          <w:b w:val="0"/>
          <w:i w:val="0"/>
          <w:sz w:val="24"/>
        </w:rPr>
        <w:t>, both research figures, the graphical abstract, and the holdout numbers in Section 3. The missingness shares in Section 2.2 are written to the same file.</w:t>
      </w:r>
    </w:p>
    <w:p>
      <w:pPr>
        <w:spacing w:line="480" w:lineRule="auto" w:before="200" w:after="80"/>
        <w:jc w:val="left"/>
      </w:pPr>
      <w:r>
        <w:rPr>
          <w:rFonts w:ascii="Times New Roman" w:hAnsi="Times New Roman" w:cs="Times New Roman" w:eastAsia="Times New Roman"/>
          <w:b/>
          <w:i/>
          <w:sz w:val="24"/>
        </w:rPr>
        <w:t>2.4 Experimental design</w:t>
      </w:r>
    </w:p>
    <w:p>
      <w:pPr>
        <w:spacing w:line="480" w:lineRule="auto" w:before="0" w:after="120"/>
        <w:jc w:val="both"/>
      </w:pPr>
      <w:r>
        <w:rPr>
          <w:rFonts w:ascii="Times New Roman" w:hAnsi="Times New Roman" w:cs="Times New Roman" w:eastAsia="Times New Roman"/>
          <w:b w:val="0"/>
          <w:i w:val="0"/>
          <w:sz w:val="24"/>
        </w:rPr>
        <w:t>The source is the public Harmonized Latin American Innovation Surveys database, LAIS [34]. The estimation rule in Eq. (1) keeps 14,663 firm-years and 12,070 enterprises in Ecuador, El Salvador, Panama, Paraguay, and Peru, in 2009, 2012, 2013, 2014, 2015, and 2016. The ready share is 23.6%. Software, hardware, and ICT expenditure were asked of every retained firm-year. The informatics department was asked of 90.6%, and a website of 25.8%, so the label is a digital-spend and digital-organization bundle, with the website used where the survey asked it. Software and hardware expenditure sit close to the ICT item in these questionnaires; the label is that bundle, not five independent technologies.</w:t>
      </w:r>
    </w:p>
    <w:p>
      <w:pPr>
        <w:spacing w:line="480" w:lineRule="auto" w:before="0" w:after="120"/>
        <w:jc w:val="both"/>
      </w:pPr>
      <w:r>
        <w:rPr>
          <w:rFonts w:ascii="Times New Roman" w:hAnsi="Times New Roman" w:cs="Times New Roman" w:eastAsia="Times New Roman"/>
          <w:b w:val="0"/>
          <w:i w:val="0"/>
          <w:sz w:val="24"/>
        </w:rPr>
        <w:t>Among retained firm-years the six routines fire at the following rates: knowledge creation 19.9%, external R&amp;D 6.0%, training 21.3%, organizational innovation 27.9%, product innovation 32.0%, and process innovation 34.9%. Where a website was asked, it is reported in 50.5% of those firm-years. An informatics department, where asked, is reported in 33.0%. Software, hardware, and ICT expenditure are reported in 18.5%, 16.7%, and 24.1%.</w:t>
      </w:r>
    </w:p>
    <w:p>
      <w:pPr>
        <w:spacing w:line="480" w:lineRule="auto" w:before="0" w:after="120"/>
        <w:jc w:val="both"/>
      </w:pPr>
      <w:r>
        <w:rPr>
          <w:rFonts w:ascii="Times New Roman" w:hAnsi="Times New Roman" w:cs="Times New Roman" w:eastAsia="Times New Roman"/>
          <w:b w:val="0"/>
          <w:i w:val="0"/>
          <w:sz w:val="24"/>
        </w:rPr>
        <w:t>The holdout is a group split of 20% of enterprises, seed 42. An enterprise is the country code joined to the firm identifier, so a firm that appears in two survey years stays on one side of the split. The code stops if any enterprise is in both samples. The training sample has 11,731 firm-years (9,656 enterprises). The holdout has 2,932 firm-years (2,414 enterprises) and a ready rate of 23.3%. Four scores are compared on that holdout: logistic regression, the knowledge layer, the AI layer, and KAID. The logistic baseline median-imputes numeric inputs, standardizes them, and fits an L2-penalized logistic regression with C = 1. That imputation is not used in the AI layer. The same five enterprise-grouped training folds that choose w also supply the out-of-fold scores for the logistic baseline.</w:t>
      </w:r>
    </w:p>
    <w:p>
      <w:pPr>
        <w:spacing w:line="480" w:lineRule="auto" w:before="0" w:after="120"/>
        <w:jc w:val="both"/>
      </w:pPr>
      <w:r>
        <w:rPr>
          <w:rFonts w:ascii="Times New Roman" w:hAnsi="Times New Roman" w:cs="Times New Roman" w:eastAsia="Times New Roman"/>
          <w:b w:val="0"/>
          <w:i w:val="0"/>
          <w:sz w:val="24"/>
        </w:rPr>
        <w:t>Classification thresholds used only for F1, precision, and recall are chosen on those out-of-fold scores. The grid runs from 0.05 to 0.95 in steps of 0.025, and the cut with the highest training F1 is frozen. AUC and the Brier score do not use those thresholds. The decision bands do not use them either.</w:t>
      </w:r>
    </w:p>
    <w:p>
      <w:pPr>
        <w:spacing w:line="480" w:lineRule="auto" w:before="0" w:after="120"/>
        <w:jc w:val="both"/>
      </w:pPr>
      <w:r>
        <w:rPr>
          <w:rFonts w:ascii="Times New Roman" w:hAnsi="Times New Roman" w:cs="Times New Roman" w:eastAsia="Times New Roman"/>
          <w:b w:val="0"/>
          <w:i w:val="0"/>
          <w:sz w:val="24"/>
        </w:rPr>
        <w:t>Uncertainty is an enterprise bootstrap with 2,000 replicates. Each replicate draws holdout enterprises with replacement and keeps every firm-year of a drawn enterprise. AUC intervals and paired AUC differences use seed 42. Band-rate intervals use seed 43. A replicate that draws a single class is dropped. A two-sided bootstrap p-value is twice the smaller of the share of replicates in which the paired difference is at most zero and the share in which it is at least zero, and it is capped at 1. When no replicate changes sign, the reported result is p &lt; 0.001.</w:t>
      </w:r>
    </w:p>
    <w:p>
      <w:pPr>
        <w:spacing w:line="480" w:lineRule="auto" w:before="240" w:after="120"/>
        <w:jc w:val="left"/>
      </w:pPr>
      <w:r>
        <w:rPr>
          <w:rFonts w:ascii="Times New Roman" w:hAnsi="Times New Roman" w:cs="Times New Roman" w:eastAsia="Times New Roman"/>
          <w:b/>
          <w:i w:val="0"/>
          <w:sz w:val="26"/>
        </w:rPr>
        <w:t>3. Results</w:t>
      </w:r>
    </w:p>
    <w:p>
      <w:pPr>
        <w:spacing w:line="480" w:lineRule="auto" w:before="0" w:after="120"/>
        <w:jc w:val="both"/>
      </w:pPr>
      <w:r>
        <w:rPr>
          <w:rFonts w:ascii="Times New Roman" w:hAnsi="Times New Roman" w:cs="Times New Roman" w:eastAsia="Times New Roman"/>
          <w:b w:val="0"/>
          <w:i w:val="0"/>
          <w:sz w:val="24"/>
        </w:rPr>
        <w:t>The holdout is used here for the first time. Table 1 compares the four scores on discrimination, calibration, and a frozen F1 cut. Table 2 tests the paired differences. Fig. 1 then shows what those scores do as a budget screen, and Fig. 2 shows why the blended curve does not separate from boosting.</w:t>
      </w:r>
    </w:p>
    <w:p>
      <w:pPr>
        <w:spacing w:line="480" w:lineRule="auto" w:before="0" w:after="120"/>
        <w:jc w:val="both"/>
      </w:pPr>
      <w:r>
        <w:rPr>
          <w:rFonts w:ascii="Times New Roman" w:hAnsi="Times New Roman" w:cs="Times New Roman" w:eastAsia="Times New Roman"/>
          <w:b w:val="0"/>
          <w:i w:val="0"/>
          <w:sz w:val="24"/>
        </w:rPr>
        <w:t>Table 1 reports those holdout scores. Logistic regression reaches AUC 0.8734 (95% interval 0.8596–0.8868). The knowledge layer reaches 0.8536 (0.8399–0.8675). The AI layer reaches 0.8914 (0.8787–0.9033). KAID reaches 0.8912 (0.8784–0.9032). To three decimal places the last two are both 0.891, which is the figure used in the abstract. The Brier scores follow the same order: 0.120, 0.125, 0.110, and 0.110. Mean predicted probability on the holdout is 0.237 for the AI layer and 0.237 for KAID, against a ready rate of 0.233, so both probabilities sit on the scale of the outcome. The Prioritize cut of 0.50 is therefore well above the base rate.</w:t>
      </w:r>
    </w:p>
    <w:p>
      <w:pPr>
        <w:spacing w:line="480" w:lineRule="auto" w:before="0" w:after="120"/>
        <w:jc w:val="both"/>
      </w:pPr>
      <w:r>
        <w:rPr>
          <w:rFonts w:ascii="Times New Roman" w:hAnsi="Times New Roman" w:cs="Times New Roman" w:eastAsia="Times New Roman"/>
          <w:b w:val="0"/>
          <w:i w:val="0"/>
          <w:sz w:val="24"/>
        </w:rPr>
        <w:t>F1, precision, and recall are not a second ranking of the same operating point. Each score has its own cut, chosen on the training out-of-fold scores and then frozen. Those cuts are 0.200, 0.225, 0.300, and 0.350. KAID and the AI layer both have F1 0.678, but KAID’s higher cut raises precision from 0.565 to 0.584 and lowers recall from 0.848 to 0.808. AUC and the Brier score do not use the cuts.</w:t>
      </w:r>
    </w:p>
    <w:p>
      <w:pPr>
        <w:spacing w:line="480" w:lineRule="auto" w:before="160" w:after="80"/>
        <w:jc w:val="left"/>
      </w:pPr>
      <w:r>
        <w:rPr>
          <w:rFonts w:ascii="Times New Roman" w:hAnsi="Times New Roman" w:cs="Times New Roman" w:eastAsia="Times New Roman"/>
          <w:b/>
          <w:i w:val="0"/>
          <w:sz w:val="24"/>
        </w:rPr>
        <w:t xml:space="preserve">Table 1. </w:t>
      </w:r>
      <w:r>
        <w:rPr>
          <w:rFonts w:ascii="Times New Roman" w:hAnsi="Times New Roman" w:cs="Times New Roman" w:eastAsia="Times New Roman"/>
          <w:b w:val="0"/>
          <w:i w:val="0"/>
          <w:sz w:val="24"/>
        </w:rPr>
        <w:t>Holdout comparison of readiness scores.</w:t>
      </w:r>
    </w:p>
    <w:tbl>
      <w:tblPr>
        <w:tblW w:type="auto" w:w="0"/>
        <w:tblLayout w:type="autofit"/>
        <w:tblLook w:firstColumn="1" w:firstRow="1" w:lastColumn="0" w:lastRow="0" w:noHBand="0" w:noVBand="1" w:val="04A0"/>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pPr>
              <w:spacing w:line="240" w:lineRule="auto" w:before="40" w:after="40"/>
              <w:jc w:val="center"/>
            </w:pPr>
            <w:r/>
            <w:r>
              <w:rPr>
                <w:rFonts w:ascii="Times New Roman" w:hAnsi="Times New Roman" w:cs="Times New Roman" w:eastAsia="Times New Roman"/>
                <w:b/>
                <w:i w:val="0"/>
                <w:sz w:val="20"/>
              </w:rPr>
              <w:t>Method</w:t>
            </w:r>
          </w:p>
        </w:tc>
        <w:tc>
          <w:tcPr>
            <w:tcW w:type="dxa" w:w="1170"/>
          </w:tcPr>
          <w:p>
            <w:pPr>
              <w:spacing w:line="240" w:lineRule="auto" w:before="40" w:after="40"/>
              <w:jc w:val="center"/>
            </w:pPr>
            <w:r/>
            <w:r>
              <w:rPr>
                <w:rFonts w:ascii="Times New Roman" w:hAnsi="Times New Roman" w:cs="Times New Roman" w:eastAsia="Times New Roman"/>
                <w:b/>
                <w:i w:val="0"/>
                <w:sz w:val="20"/>
              </w:rPr>
              <w:t>AUC</w:t>
            </w:r>
          </w:p>
        </w:tc>
        <w:tc>
          <w:tcPr>
            <w:tcW w:type="dxa" w:w="1170"/>
          </w:tcPr>
          <w:p>
            <w:pPr>
              <w:spacing w:line="240" w:lineRule="auto" w:before="40" w:after="40"/>
              <w:jc w:val="center"/>
            </w:pPr>
            <w:r/>
            <w:r>
              <w:rPr>
                <w:rFonts w:ascii="Times New Roman" w:hAnsi="Times New Roman" w:cs="Times New Roman" w:eastAsia="Times New Roman"/>
                <w:b/>
                <w:i w:val="0"/>
                <w:sz w:val="20"/>
              </w:rPr>
              <w:t>95% interval</w:t>
            </w:r>
          </w:p>
        </w:tc>
        <w:tc>
          <w:tcPr>
            <w:tcW w:type="dxa" w:w="1170"/>
          </w:tcPr>
          <w:p>
            <w:pPr>
              <w:spacing w:line="240" w:lineRule="auto" w:before="40" w:after="40"/>
              <w:jc w:val="center"/>
            </w:pPr>
            <w:r/>
            <w:r>
              <w:rPr>
                <w:rFonts w:ascii="Times New Roman" w:hAnsi="Times New Roman" w:cs="Times New Roman" w:eastAsia="Times New Roman"/>
                <w:b/>
                <w:i w:val="0"/>
                <w:sz w:val="20"/>
              </w:rPr>
              <w:t>F1 cut</w:t>
            </w:r>
          </w:p>
        </w:tc>
        <w:tc>
          <w:tcPr>
            <w:tcW w:type="dxa" w:w="1170"/>
          </w:tcPr>
          <w:p>
            <w:pPr>
              <w:spacing w:line="240" w:lineRule="auto" w:before="40" w:after="40"/>
              <w:jc w:val="center"/>
            </w:pPr>
            <w:r/>
            <w:r>
              <w:rPr>
                <w:rFonts w:ascii="Times New Roman" w:hAnsi="Times New Roman" w:cs="Times New Roman" w:eastAsia="Times New Roman"/>
                <w:b/>
                <w:i w:val="0"/>
                <w:sz w:val="20"/>
              </w:rPr>
              <w:t>F1</w:t>
            </w:r>
          </w:p>
        </w:tc>
        <w:tc>
          <w:tcPr>
            <w:tcW w:type="dxa" w:w="1170"/>
          </w:tcPr>
          <w:p>
            <w:pPr>
              <w:spacing w:line="240" w:lineRule="auto" w:before="40" w:after="40"/>
              <w:jc w:val="center"/>
            </w:pPr>
            <w:r/>
            <w:r>
              <w:rPr>
                <w:rFonts w:ascii="Times New Roman" w:hAnsi="Times New Roman" w:cs="Times New Roman" w:eastAsia="Times New Roman"/>
                <w:b/>
                <w:i w:val="0"/>
                <w:sz w:val="20"/>
              </w:rPr>
              <w:t>Precision</w:t>
            </w:r>
          </w:p>
        </w:tc>
        <w:tc>
          <w:tcPr>
            <w:tcW w:type="dxa" w:w="1170"/>
          </w:tcPr>
          <w:p>
            <w:pPr>
              <w:spacing w:line="240" w:lineRule="auto" w:before="40" w:after="40"/>
              <w:jc w:val="center"/>
            </w:pPr>
            <w:r/>
            <w:r>
              <w:rPr>
                <w:rFonts w:ascii="Times New Roman" w:hAnsi="Times New Roman" w:cs="Times New Roman" w:eastAsia="Times New Roman"/>
                <w:b/>
                <w:i w:val="0"/>
                <w:sz w:val="20"/>
              </w:rPr>
              <w:t>Recall</w:t>
            </w:r>
          </w:p>
        </w:tc>
        <w:tc>
          <w:tcPr>
            <w:tcW w:type="dxa" w:w="1170"/>
          </w:tcPr>
          <w:p>
            <w:pPr>
              <w:spacing w:line="240" w:lineRule="auto" w:before="40" w:after="40"/>
              <w:jc w:val="center"/>
            </w:pPr>
            <w:r/>
            <w:r>
              <w:rPr>
                <w:rFonts w:ascii="Times New Roman" w:hAnsi="Times New Roman" w:cs="Times New Roman" w:eastAsia="Times New Roman"/>
                <w:b/>
                <w:i w:val="0"/>
                <w:sz w:val="20"/>
              </w:rPr>
              <w:t>Brier</w:t>
            </w:r>
          </w:p>
        </w:tc>
      </w:tr>
      <w:tr>
        <w:tc>
          <w:tcPr>
            <w:tcW w:type="dxa" w:w="1170"/>
          </w:tcPr>
          <w:p>
            <w:pPr>
              <w:spacing w:line="240" w:lineRule="auto" w:before="20" w:after="20"/>
              <w:jc w:val="left"/>
            </w:pPr>
            <w:r/>
            <w:r>
              <w:rPr>
                <w:rFonts w:ascii="Times New Roman" w:hAnsi="Times New Roman" w:cs="Times New Roman" w:eastAsia="Times New Roman"/>
                <w:b w:val="0"/>
                <w:i w:val="0"/>
                <w:sz w:val="20"/>
              </w:rPr>
              <w:t>Logistic regression</w:t>
            </w:r>
          </w:p>
        </w:tc>
        <w:tc>
          <w:tcPr>
            <w:tcW w:type="dxa" w:w="1170"/>
          </w:tcPr>
          <w:p>
            <w:pPr>
              <w:spacing w:line="240" w:lineRule="auto" w:before="20" w:after="20"/>
              <w:jc w:val="center"/>
            </w:pPr>
            <w:r/>
            <w:r>
              <w:rPr>
                <w:rFonts w:ascii="Times New Roman" w:hAnsi="Times New Roman" w:cs="Times New Roman" w:eastAsia="Times New Roman"/>
                <w:b w:val="0"/>
                <w:i w:val="0"/>
                <w:sz w:val="20"/>
              </w:rPr>
              <w:t>0.8734</w:t>
            </w:r>
          </w:p>
        </w:tc>
        <w:tc>
          <w:tcPr>
            <w:tcW w:type="dxa" w:w="1170"/>
          </w:tcPr>
          <w:p>
            <w:pPr>
              <w:spacing w:line="240" w:lineRule="auto" w:before="20" w:after="20"/>
              <w:jc w:val="center"/>
            </w:pPr>
            <w:r/>
            <w:r>
              <w:rPr>
                <w:rFonts w:ascii="Times New Roman" w:hAnsi="Times New Roman" w:cs="Times New Roman" w:eastAsia="Times New Roman"/>
                <w:b w:val="0"/>
                <w:i w:val="0"/>
                <w:sz w:val="20"/>
              </w:rPr>
              <w:t>0.8596–0.8868</w:t>
            </w:r>
          </w:p>
        </w:tc>
        <w:tc>
          <w:tcPr>
            <w:tcW w:type="dxa" w:w="1170"/>
          </w:tcPr>
          <w:p>
            <w:pPr>
              <w:spacing w:line="240" w:lineRule="auto" w:before="20" w:after="20"/>
              <w:jc w:val="center"/>
            </w:pPr>
            <w:r/>
            <w:r>
              <w:rPr>
                <w:rFonts w:ascii="Times New Roman" w:hAnsi="Times New Roman" w:cs="Times New Roman" w:eastAsia="Times New Roman"/>
                <w:b w:val="0"/>
                <w:i w:val="0"/>
                <w:sz w:val="20"/>
              </w:rPr>
              <w:t>0.200</w:t>
            </w:r>
          </w:p>
        </w:tc>
        <w:tc>
          <w:tcPr>
            <w:tcW w:type="dxa" w:w="1170"/>
          </w:tcPr>
          <w:p>
            <w:pPr>
              <w:spacing w:line="240" w:lineRule="auto" w:before="20" w:after="20"/>
              <w:jc w:val="center"/>
            </w:pPr>
            <w:r/>
            <w:r>
              <w:rPr>
                <w:rFonts w:ascii="Times New Roman" w:hAnsi="Times New Roman" w:cs="Times New Roman" w:eastAsia="Times New Roman"/>
                <w:b w:val="0"/>
                <w:i w:val="0"/>
                <w:sz w:val="20"/>
              </w:rPr>
              <w:t>0.660</w:t>
            </w:r>
          </w:p>
        </w:tc>
        <w:tc>
          <w:tcPr>
            <w:tcW w:type="dxa" w:w="1170"/>
          </w:tcPr>
          <w:p>
            <w:pPr>
              <w:spacing w:line="240" w:lineRule="auto" w:before="20" w:after="20"/>
              <w:jc w:val="center"/>
            </w:pPr>
            <w:r/>
            <w:r>
              <w:rPr>
                <w:rFonts w:ascii="Times New Roman" w:hAnsi="Times New Roman" w:cs="Times New Roman" w:eastAsia="Times New Roman"/>
                <w:b w:val="0"/>
                <w:i w:val="0"/>
                <w:sz w:val="20"/>
              </w:rPr>
              <w:t>0.539</w:t>
            </w:r>
          </w:p>
        </w:tc>
        <w:tc>
          <w:tcPr>
            <w:tcW w:type="dxa" w:w="1170"/>
          </w:tcPr>
          <w:p>
            <w:pPr>
              <w:spacing w:line="240" w:lineRule="auto" w:before="20" w:after="20"/>
              <w:jc w:val="center"/>
            </w:pPr>
            <w:r/>
            <w:r>
              <w:rPr>
                <w:rFonts w:ascii="Times New Roman" w:hAnsi="Times New Roman" w:cs="Times New Roman" w:eastAsia="Times New Roman"/>
                <w:b w:val="0"/>
                <w:i w:val="0"/>
                <w:sz w:val="20"/>
              </w:rPr>
              <w:t>0.851</w:t>
            </w:r>
          </w:p>
        </w:tc>
        <w:tc>
          <w:tcPr>
            <w:tcW w:type="dxa" w:w="1170"/>
          </w:tcPr>
          <w:p>
            <w:pPr>
              <w:spacing w:line="240" w:lineRule="auto" w:before="20" w:after="20"/>
              <w:jc w:val="center"/>
            </w:pPr>
            <w:r/>
            <w:r>
              <w:rPr>
                <w:rFonts w:ascii="Times New Roman" w:hAnsi="Times New Roman" w:cs="Times New Roman" w:eastAsia="Times New Roman"/>
                <w:b w:val="0"/>
                <w:i w:val="0"/>
                <w:sz w:val="20"/>
              </w:rPr>
              <w:t>0.120</w:t>
            </w:r>
          </w:p>
        </w:tc>
      </w:tr>
      <w:tr>
        <w:tc>
          <w:tcPr>
            <w:tcW w:type="dxa" w:w="1170"/>
          </w:tcPr>
          <w:p>
            <w:pPr>
              <w:spacing w:line="240" w:lineRule="auto" w:before="20" w:after="20"/>
              <w:jc w:val="left"/>
            </w:pPr>
            <w:r/>
            <w:r>
              <w:rPr>
                <w:rFonts w:ascii="Times New Roman" w:hAnsi="Times New Roman" w:cs="Times New Roman" w:eastAsia="Times New Roman"/>
                <w:b w:val="0"/>
                <w:i w:val="0"/>
                <w:sz w:val="20"/>
              </w:rPr>
              <w:t>Knowledge layer</w:t>
            </w:r>
          </w:p>
        </w:tc>
        <w:tc>
          <w:tcPr>
            <w:tcW w:type="dxa" w:w="1170"/>
          </w:tcPr>
          <w:p>
            <w:pPr>
              <w:spacing w:line="240" w:lineRule="auto" w:before="20" w:after="20"/>
              <w:jc w:val="center"/>
            </w:pPr>
            <w:r/>
            <w:r>
              <w:rPr>
                <w:rFonts w:ascii="Times New Roman" w:hAnsi="Times New Roman" w:cs="Times New Roman" w:eastAsia="Times New Roman"/>
                <w:b w:val="0"/>
                <w:i w:val="0"/>
                <w:sz w:val="20"/>
              </w:rPr>
              <w:t>0.8536</w:t>
            </w:r>
          </w:p>
        </w:tc>
        <w:tc>
          <w:tcPr>
            <w:tcW w:type="dxa" w:w="1170"/>
          </w:tcPr>
          <w:p>
            <w:pPr>
              <w:spacing w:line="240" w:lineRule="auto" w:before="20" w:after="20"/>
              <w:jc w:val="center"/>
            </w:pPr>
            <w:r/>
            <w:r>
              <w:rPr>
                <w:rFonts w:ascii="Times New Roman" w:hAnsi="Times New Roman" w:cs="Times New Roman" w:eastAsia="Times New Roman"/>
                <w:b w:val="0"/>
                <w:i w:val="0"/>
                <w:sz w:val="20"/>
              </w:rPr>
              <w:t>0.8399–0.8675</w:t>
            </w:r>
          </w:p>
        </w:tc>
        <w:tc>
          <w:tcPr>
            <w:tcW w:type="dxa" w:w="1170"/>
          </w:tcPr>
          <w:p>
            <w:pPr>
              <w:spacing w:line="240" w:lineRule="auto" w:before="20" w:after="20"/>
              <w:jc w:val="center"/>
            </w:pPr>
            <w:r/>
            <w:r>
              <w:rPr>
                <w:rFonts w:ascii="Times New Roman" w:hAnsi="Times New Roman" w:cs="Times New Roman" w:eastAsia="Times New Roman"/>
                <w:b w:val="0"/>
                <w:i w:val="0"/>
                <w:sz w:val="20"/>
              </w:rPr>
              <w:t>0.225</w:t>
            </w:r>
          </w:p>
        </w:tc>
        <w:tc>
          <w:tcPr>
            <w:tcW w:type="dxa" w:w="1170"/>
          </w:tcPr>
          <w:p>
            <w:pPr>
              <w:spacing w:line="240" w:lineRule="auto" w:before="20" w:after="20"/>
              <w:jc w:val="center"/>
            </w:pPr>
            <w:r/>
            <w:r>
              <w:rPr>
                <w:rFonts w:ascii="Times New Roman" w:hAnsi="Times New Roman" w:cs="Times New Roman" w:eastAsia="Times New Roman"/>
                <w:b w:val="0"/>
                <w:i w:val="0"/>
                <w:sz w:val="20"/>
              </w:rPr>
              <w:t>0.626</w:t>
            </w:r>
          </w:p>
        </w:tc>
        <w:tc>
          <w:tcPr>
            <w:tcW w:type="dxa" w:w="1170"/>
          </w:tcPr>
          <w:p>
            <w:pPr>
              <w:spacing w:line="240" w:lineRule="auto" w:before="20" w:after="20"/>
              <w:jc w:val="center"/>
            </w:pPr>
            <w:r/>
            <w:r>
              <w:rPr>
                <w:rFonts w:ascii="Times New Roman" w:hAnsi="Times New Roman" w:cs="Times New Roman" w:eastAsia="Times New Roman"/>
                <w:b w:val="0"/>
                <w:i w:val="0"/>
                <w:sz w:val="20"/>
              </w:rPr>
              <w:t>0.502</w:t>
            </w:r>
          </w:p>
        </w:tc>
        <w:tc>
          <w:tcPr>
            <w:tcW w:type="dxa" w:w="1170"/>
          </w:tcPr>
          <w:p>
            <w:pPr>
              <w:spacing w:line="240" w:lineRule="auto" w:before="20" w:after="20"/>
              <w:jc w:val="center"/>
            </w:pPr>
            <w:r/>
            <w:r>
              <w:rPr>
                <w:rFonts w:ascii="Times New Roman" w:hAnsi="Times New Roman" w:cs="Times New Roman" w:eastAsia="Times New Roman"/>
                <w:b w:val="0"/>
                <w:i w:val="0"/>
                <w:sz w:val="20"/>
              </w:rPr>
              <w:t>0.833</w:t>
            </w:r>
          </w:p>
        </w:tc>
        <w:tc>
          <w:tcPr>
            <w:tcW w:type="dxa" w:w="1170"/>
          </w:tcPr>
          <w:p>
            <w:pPr>
              <w:spacing w:line="240" w:lineRule="auto" w:before="20" w:after="20"/>
              <w:jc w:val="center"/>
            </w:pPr>
            <w:r/>
            <w:r>
              <w:rPr>
                <w:rFonts w:ascii="Times New Roman" w:hAnsi="Times New Roman" w:cs="Times New Roman" w:eastAsia="Times New Roman"/>
                <w:b w:val="0"/>
                <w:i w:val="0"/>
                <w:sz w:val="20"/>
              </w:rPr>
              <w:t>0.125</w:t>
            </w:r>
          </w:p>
        </w:tc>
      </w:tr>
      <w:tr>
        <w:tc>
          <w:tcPr>
            <w:tcW w:type="dxa" w:w="1170"/>
          </w:tcPr>
          <w:p>
            <w:pPr>
              <w:spacing w:line="240" w:lineRule="auto" w:before="20" w:after="20"/>
              <w:jc w:val="left"/>
            </w:pPr>
            <w:r/>
            <w:r>
              <w:rPr>
                <w:rFonts w:ascii="Times New Roman" w:hAnsi="Times New Roman" w:cs="Times New Roman" w:eastAsia="Times New Roman"/>
                <w:b w:val="0"/>
                <w:i w:val="0"/>
                <w:sz w:val="20"/>
              </w:rPr>
              <w:t>AI layer</w:t>
            </w:r>
          </w:p>
        </w:tc>
        <w:tc>
          <w:tcPr>
            <w:tcW w:type="dxa" w:w="1170"/>
          </w:tcPr>
          <w:p>
            <w:pPr>
              <w:spacing w:line="240" w:lineRule="auto" w:before="20" w:after="20"/>
              <w:jc w:val="center"/>
            </w:pPr>
            <w:r/>
            <w:r>
              <w:rPr>
                <w:rFonts w:ascii="Times New Roman" w:hAnsi="Times New Roman" w:cs="Times New Roman" w:eastAsia="Times New Roman"/>
                <w:b w:val="0"/>
                <w:i w:val="0"/>
                <w:sz w:val="20"/>
              </w:rPr>
              <w:t>0.8914</w:t>
            </w:r>
          </w:p>
        </w:tc>
        <w:tc>
          <w:tcPr>
            <w:tcW w:type="dxa" w:w="1170"/>
          </w:tcPr>
          <w:p>
            <w:pPr>
              <w:spacing w:line="240" w:lineRule="auto" w:before="20" w:after="20"/>
              <w:jc w:val="center"/>
            </w:pPr>
            <w:r/>
            <w:r>
              <w:rPr>
                <w:rFonts w:ascii="Times New Roman" w:hAnsi="Times New Roman" w:cs="Times New Roman" w:eastAsia="Times New Roman"/>
                <w:b w:val="0"/>
                <w:i w:val="0"/>
                <w:sz w:val="20"/>
              </w:rPr>
              <w:t>0.8787–0.9033</w:t>
            </w:r>
          </w:p>
        </w:tc>
        <w:tc>
          <w:tcPr>
            <w:tcW w:type="dxa" w:w="1170"/>
          </w:tcPr>
          <w:p>
            <w:pPr>
              <w:spacing w:line="240" w:lineRule="auto" w:before="20" w:after="20"/>
              <w:jc w:val="center"/>
            </w:pPr>
            <w:r/>
            <w:r>
              <w:rPr>
                <w:rFonts w:ascii="Times New Roman" w:hAnsi="Times New Roman" w:cs="Times New Roman" w:eastAsia="Times New Roman"/>
                <w:b w:val="0"/>
                <w:i w:val="0"/>
                <w:sz w:val="20"/>
              </w:rPr>
              <w:t>0.300</w:t>
            </w:r>
          </w:p>
        </w:tc>
        <w:tc>
          <w:tcPr>
            <w:tcW w:type="dxa" w:w="1170"/>
          </w:tcPr>
          <w:p>
            <w:pPr>
              <w:spacing w:line="240" w:lineRule="auto" w:before="20" w:after="20"/>
              <w:jc w:val="center"/>
            </w:pPr>
            <w:r/>
            <w:r>
              <w:rPr>
                <w:rFonts w:ascii="Times New Roman" w:hAnsi="Times New Roman" w:cs="Times New Roman" w:eastAsia="Times New Roman"/>
                <w:b w:val="0"/>
                <w:i w:val="0"/>
                <w:sz w:val="20"/>
              </w:rPr>
              <w:t>0.678</w:t>
            </w:r>
          </w:p>
        </w:tc>
        <w:tc>
          <w:tcPr>
            <w:tcW w:type="dxa" w:w="1170"/>
          </w:tcPr>
          <w:p>
            <w:pPr>
              <w:spacing w:line="240" w:lineRule="auto" w:before="20" w:after="20"/>
              <w:jc w:val="center"/>
            </w:pPr>
            <w:r/>
            <w:r>
              <w:rPr>
                <w:rFonts w:ascii="Times New Roman" w:hAnsi="Times New Roman" w:cs="Times New Roman" w:eastAsia="Times New Roman"/>
                <w:b w:val="0"/>
                <w:i w:val="0"/>
                <w:sz w:val="20"/>
              </w:rPr>
              <w:t>0.565</w:t>
            </w:r>
          </w:p>
        </w:tc>
        <w:tc>
          <w:tcPr>
            <w:tcW w:type="dxa" w:w="1170"/>
          </w:tcPr>
          <w:p>
            <w:pPr>
              <w:spacing w:line="240" w:lineRule="auto" w:before="20" w:after="20"/>
              <w:jc w:val="center"/>
            </w:pPr>
            <w:r/>
            <w:r>
              <w:rPr>
                <w:rFonts w:ascii="Times New Roman" w:hAnsi="Times New Roman" w:cs="Times New Roman" w:eastAsia="Times New Roman"/>
                <w:b w:val="0"/>
                <w:i w:val="0"/>
                <w:sz w:val="20"/>
              </w:rPr>
              <w:t>0.848</w:t>
            </w:r>
          </w:p>
        </w:tc>
        <w:tc>
          <w:tcPr>
            <w:tcW w:type="dxa" w:w="1170"/>
          </w:tcPr>
          <w:p>
            <w:pPr>
              <w:spacing w:line="240" w:lineRule="auto" w:before="20" w:after="20"/>
              <w:jc w:val="center"/>
            </w:pPr>
            <w:r/>
            <w:r>
              <w:rPr>
                <w:rFonts w:ascii="Times New Roman" w:hAnsi="Times New Roman" w:cs="Times New Roman" w:eastAsia="Times New Roman"/>
                <w:b w:val="0"/>
                <w:i w:val="0"/>
                <w:sz w:val="20"/>
              </w:rPr>
              <w:t>0.110</w:t>
            </w:r>
          </w:p>
        </w:tc>
      </w:tr>
      <w:tr>
        <w:tc>
          <w:tcPr>
            <w:tcW w:type="dxa" w:w="1170"/>
          </w:tcPr>
          <w:p>
            <w:pPr>
              <w:spacing w:line="240" w:lineRule="auto" w:before="20" w:after="20"/>
              <w:jc w:val="left"/>
            </w:pPr>
            <w:r/>
            <w:r>
              <w:rPr>
                <w:rFonts w:ascii="Times New Roman" w:hAnsi="Times New Roman" w:cs="Times New Roman" w:eastAsia="Times New Roman"/>
                <w:b w:val="0"/>
                <w:i w:val="0"/>
                <w:sz w:val="20"/>
              </w:rPr>
              <w:t>KAID</w:t>
            </w:r>
          </w:p>
        </w:tc>
        <w:tc>
          <w:tcPr>
            <w:tcW w:type="dxa" w:w="1170"/>
          </w:tcPr>
          <w:p>
            <w:pPr>
              <w:spacing w:line="240" w:lineRule="auto" w:before="20" w:after="20"/>
              <w:jc w:val="center"/>
            </w:pPr>
            <w:r/>
            <w:r>
              <w:rPr>
                <w:rFonts w:ascii="Times New Roman" w:hAnsi="Times New Roman" w:cs="Times New Roman" w:eastAsia="Times New Roman"/>
                <w:b w:val="0"/>
                <w:i w:val="0"/>
                <w:sz w:val="20"/>
              </w:rPr>
              <w:t>0.8912</w:t>
            </w:r>
          </w:p>
        </w:tc>
        <w:tc>
          <w:tcPr>
            <w:tcW w:type="dxa" w:w="1170"/>
          </w:tcPr>
          <w:p>
            <w:pPr>
              <w:spacing w:line="240" w:lineRule="auto" w:before="20" w:after="20"/>
              <w:jc w:val="center"/>
            </w:pPr>
            <w:r/>
            <w:r>
              <w:rPr>
                <w:rFonts w:ascii="Times New Roman" w:hAnsi="Times New Roman" w:cs="Times New Roman" w:eastAsia="Times New Roman"/>
                <w:b w:val="0"/>
                <w:i w:val="0"/>
                <w:sz w:val="20"/>
              </w:rPr>
              <w:t>0.8784–0.9032</w:t>
            </w:r>
          </w:p>
        </w:tc>
        <w:tc>
          <w:tcPr>
            <w:tcW w:type="dxa" w:w="1170"/>
          </w:tcPr>
          <w:p>
            <w:pPr>
              <w:spacing w:line="240" w:lineRule="auto" w:before="20" w:after="20"/>
              <w:jc w:val="center"/>
            </w:pPr>
            <w:r/>
            <w:r>
              <w:rPr>
                <w:rFonts w:ascii="Times New Roman" w:hAnsi="Times New Roman" w:cs="Times New Roman" w:eastAsia="Times New Roman"/>
                <w:b w:val="0"/>
                <w:i w:val="0"/>
                <w:sz w:val="20"/>
              </w:rPr>
              <w:t>0.350</w:t>
            </w:r>
          </w:p>
        </w:tc>
        <w:tc>
          <w:tcPr>
            <w:tcW w:type="dxa" w:w="1170"/>
          </w:tcPr>
          <w:p>
            <w:pPr>
              <w:spacing w:line="240" w:lineRule="auto" w:before="20" w:after="20"/>
              <w:jc w:val="center"/>
            </w:pPr>
            <w:r/>
            <w:r>
              <w:rPr>
                <w:rFonts w:ascii="Times New Roman" w:hAnsi="Times New Roman" w:cs="Times New Roman" w:eastAsia="Times New Roman"/>
                <w:b w:val="0"/>
                <w:i w:val="0"/>
                <w:sz w:val="20"/>
              </w:rPr>
              <w:t>0.678</w:t>
            </w:r>
          </w:p>
        </w:tc>
        <w:tc>
          <w:tcPr>
            <w:tcW w:type="dxa" w:w="1170"/>
          </w:tcPr>
          <w:p>
            <w:pPr>
              <w:spacing w:line="240" w:lineRule="auto" w:before="20" w:after="20"/>
              <w:jc w:val="center"/>
            </w:pPr>
            <w:r/>
            <w:r>
              <w:rPr>
                <w:rFonts w:ascii="Times New Roman" w:hAnsi="Times New Roman" w:cs="Times New Roman" w:eastAsia="Times New Roman"/>
                <w:b w:val="0"/>
                <w:i w:val="0"/>
                <w:sz w:val="20"/>
              </w:rPr>
              <w:t>0.584</w:t>
            </w:r>
          </w:p>
        </w:tc>
        <w:tc>
          <w:tcPr>
            <w:tcW w:type="dxa" w:w="1170"/>
          </w:tcPr>
          <w:p>
            <w:pPr>
              <w:spacing w:line="240" w:lineRule="auto" w:before="20" w:after="20"/>
              <w:jc w:val="center"/>
            </w:pPr>
            <w:r/>
            <w:r>
              <w:rPr>
                <w:rFonts w:ascii="Times New Roman" w:hAnsi="Times New Roman" w:cs="Times New Roman" w:eastAsia="Times New Roman"/>
                <w:b w:val="0"/>
                <w:i w:val="0"/>
                <w:sz w:val="20"/>
              </w:rPr>
              <w:t>0.808</w:t>
            </w:r>
          </w:p>
        </w:tc>
        <w:tc>
          <w:tcPr>
            <w:tcW w:type="dxa" w:w="1170"/>
          </w:tcPr>
          <w:p>
            <w:pPr>
              <w:spacing w:line="240" w:lineRule="auto" w:before="20" w:after="20"/>
              <w:jc w:val="center"/>
            </w:pPr>
            <w:r/>
            <w:r>
              <w:rPr>
                <w:rFonts w:ascii="Times New Roman" w:hAnsi="Times New Roman" w:cs="Times New Roman" w:eastAsia="Times New Roman"/>
                <w:b w:val="0"/>
                <w:i w:val="0"/>
                <w:sz w:val="20"/>
              </w:rPr>
              <w:t>0.110</w:t>
            </w:r>
          </w:p>
        </w:tc>
      </w:tr>
    </w:tbl>
    <w:p>
      <w:pPr>
        <w:spacing w:after="40"/>
      </w:pPr>
    </w:p>
    <w:p>
      <w:pPr>
        <w:spacing w:line="480" w:lineRule="auto" w:before="0" w:after="120"/>
        <w:jc w:val="both"/>
      </w:pPr>
      <w:r>
        <w:rPr>
          <w:rFonts w:ascii="Times New Roman" w:hAnsi="Times New Roman" w:cs="Times New Roman" w:eastAsia="Times New Roman"/>
          <w:b w:val="0"/>
          <w:i w:val="0"/>
          <w:sz w:val="22"/>
        </w:rPr>
        <w:t>Note. Holdout of 2,932 firm-years from 2,414 enterprises; ready rate 23.3%. AUC is the area under the receiver-operating curve. Each 95% interval is the 2.5th to 97.5th percentile of 2,000 enterprise-bootstrap replicates of the fixed holdout scores (seed 42). The models are not refit inside a replicate. The F1 cut was chosen on training out-of-fold scores to maximize F1 and then frozen. F1, precision, and recall use that cut. AUC and Brier do not. Lower Brier is better. AUC is shown to four decimal places: subtracting these point estimates recovers the differences in Table 2. The abstract rounds the same AUCs to three decimal places, and it rounds the contrasts 0.0378 and 0.0180 to 0.038 and 0.018.</w:t>
      </w:r>
    </w:p>
    <w:p>
      <w:pPr>
        <w:spacing w:line="480" w:lineRule="auto" w:before="0" w:after="120"/>
        <w:jc w:val="both"/>
      </w:pPr>
      <w:r>
        <w:rPr>
          <w:rFonts w:ascii="Times New Roman" w:hAnsi="Times New Roman" w:cs="Times New Roman" w:eastAsia="Times New Roman"/>
          <w:b w:val="0"/>
          <w:i w:val="0"/>
          <w:sz w:val="24"/>
        </w:rPr>
        <w:t>Table 2 reports the paired contrasts on the same scores. The AI layer exceeds the knowledge layer by 0.0378 AUC (0.0291 to 0.0461) and logistic regression by 0.0180 (0.0117 to 0.0247). Both intervals exclude zero, and no bootstrap replicate reverses the sign (p &lt; 0.001). Logistic regression exceeds the knowledge layer by 0.0198 AUC (0.0114 to 0.0279; p &lt; 0.001). The training step sets the KAID weight at w = 0.95. KAID is 0.0002 AUC below the AI layer. The interval runs from −0.0006 to 0.0001 and includes zero (p = 0.223). KAID does not discriminate better than the AI layer.</w:t>
      </w:r>
    </w:p>
    <w:p>
      <w:pPr>
        <w:spacing w:line="480" w:lineRule="auto" w:before="160" w:after="80"/>
        <w:jc w:val="left"/>
      </w:pPr>
      <w:r>
        <w:rPr>
          <w:rFonts w:ascii="Times New Roman" w:hAnsi="Times New Roman" w:cs="Times New Roman" w:eastAsia="Times New Roman"/>
          <w:b/>
          <w:i w:val="0"/>
          <w:sz w:val="24"/>
        </w:rPr>
        <w:t xml:space="preserve">Table 2. </w:t>
      </w:r>
      <w:r>
        <w:rPr>
          <w:rFonts w:ascii="Times New Roman" w:hAnsi="Times New Roman" w:cs="Times New Roman" w:eastAsia="Times New Roman"/>
          <w:b w:val="0"/>
          <w:i w:val="0"/>
          <w:sz w:val="24"/>
        </w:rPr>
        <w:t>Paired enterprise-bootstrap contrasts on holdout AUC.</w:t>
      </w:r>
    </w:p>
    <w:tbl>
      <w:tblPr>
        <w:tblW w:type="auto" w:w="0"/>
        <w:tblLayout w:type="autofit"/>
        <w:tblLook w:firstColumn="1" w:firstRow="1" w:lastColumn="0" w:lastRow="0" w:noHBand="0" w:noVBand="1" w:val="04A0"/>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spacing w:line="240" w:lineRule="auto" w:before="40" w:after="40"/>
              <w:jc w:val="center"/>
            </w:pPr>
            <w:r/>
            <w:r>
              <w:rPr>
                <w:rFonts w:ascii="Times New Roman" w:hAnsi="Times New Roman" w:cs="Times New Roman" w:eastAsia="Times New Roman"/>
                <w:b/>
                <w:i w:val="0"/>
                <w:sz w:val="20"/>
              </w:rPr>
              <w:t>Contrast</w:t>
            </w:r>
          </w:p>
        </w:tc>
        <w:tc>
          <w:tcPr>
            <w:tcW w:type="dxa" w:w="2340"/>
          </w:tcPr>
          <w:p>
            <w:pPr>
              <w:spacing w:line="240" w:lineRule="auto" w:before="40" w:after="40"/>
              <w:jc w:val="center"/>
            </w:pPr>
            <w:r/>
            <w:r>
              <w:rPr>
                <w:rFonts w:ascii="Times New Roman" w:hAnsi="Times New Roman" w:cs="Times New Roman" w:eastAsia="Times New Roman"/>
                <w:b/>
                <w:i w:val="0"/>
                <w:sz w:val="20"/>
              </w:rPr>
              <w:t>Difference in AUC</w:t>
            </w:r>
          </w:p>
        </w:tc>
        <w:tc>
          <w:tcPr>
            <w:tcW w:type="dxa" w:w="2340"/>
          </w:tcPr>
          <w:p>
            <w:pPr>
              <w:spacing w:line="240" w:lineRule="auto" w:before="40" w:after="40"/>
              <w:jc w:val="center"/>
            </w:pPr>
            <w:r/>
            <w:r>
              <w:rPr>
                <w:rFonts w:ascii="Times New Roman" w:hAnsi="Times New Roman" w:cs="Times New Roman" w:eastAsia="Times New Roman"/>
                <w:b/>
                <w:i w:val="0"/>
                <w:sz w:val="20"/>
              </w:rPr>
              <w:t>95% interval</w:t>
            </w:r>
          </w:p>
        </w:tc>
        <w:tc>
          <w:tcPr>
            <w:tcW w:type="dxa" w:w="2340"/>
          </w:tcPr>
          <w:p>
            <w:pPr>
              <w:spacing w:line="240" w:lineRule="auto" w:before="40" w:after="40"/>
              <w:jc w:val="center"/>
            </w:pPr>
            <w:r/>
            <w:r>
              <w:rPr>
                <w:rFonts w:ascii="Times New Roman" w:hAnsi="Times New Roman" w:cs="Times New Roman" w:eastAsia="Times New Roman"/>
                <w:b/>
                <w:i w:val="0"/>
                <w:sz w:val="20"/>
              </w:rPr>
              <w:t>p</w:t>
            </w:r>
          </w:p>
        </w:tc>
      </w:tr>
      <w:tr>
        <w:tc>
          <w:tcPr>
            <w:tcW w:type="dxa" w:w="2340"/>
          </w:tcPr>
          <w:p>
            <w:pPr>
              <w:spacing w:line="240" w:lineRule="auto" w:before="20" w:after="20"/>
              <w:jc w:val="left"/>
            </w:pPr>
            <w:r/>
            <w:r>
              <w:rPr>
                <w:rFonts w:ascii="Times New Roman" w:hAnsi="Times New Roman" w:cs="Times New Roman" w:eastAsia="Times New Roman"/>
                <w:b w:val="0"/>
                <w:i w:val="0"/>
                <w:sz w:val="20"/>
              </w:rPr>
              <w:t>AI layer − knowledge layer</w:t>
            </w:r>
          </w:p>
        </w:tc>
        <w:tc>
          <w:tcPr>
            <w:tcW w:type="dxa" w:w="2340"/>
          </w:tcPr>
          <w:p>
            <w:pPr>
              <w:spacing w:line="240" w:lineRule="auto" w:before="20" w:after="20"/>
              <w:jc w:val="center"/>
            </w:pPr>
            <w:r/>
            <w:r>
              <w:rPr>
                <w:rFonts w:ascii="Times New Roman" w:hAnsi="Times New Roman" w:cs="Times New Roman" w:eastAsia="Times New Roman"/>
                <w:b w:val="0"/>
                <w:i w:val="0"/>
                <w:sz w:val="20"/>
              </w:rPr>
              <w:t>+0.0378</w:t>
            </w:r>
          </w:p>
        </w:tc>
        <w:tc>
          <w:tcPr>
            <w:tcW w:type="dxa" w:w="2340"/>
          </w:tcPr>
          <w:p>
            <w:pPr>
              <w:spacing w:line="240" w:lineRule="auto" w:before="20" w:after="20"/>
              <w:jc w:val="center"/>
            </w:pPr>
            <w:r/>
            <w:r>
              <w:rPr>
                <w:rFonts w:ascii="Times New Roman" w:hAnsi="Times New Roman" w:cs="Times New Roman" w:eastAsia="Times New Roman"/>
                <w:b w:val="0"/>
                <w:i w:val="0"/>
                <w:sz w:val="20"/>
              </w:rPr>
              <w:t>0.0291 to 0.0461</w:t>
            </w:r>
          </w:p>
        </w:tc>
        <w:tc>
          <w:tcPr>
            <w:tcW w:type="dxa" w:w="2340"/>
          </w:tcPr>
          <w:p>
            <w:pPr>
              <w:spacing w:line="240" w:lineRule="auto" w:before="20" w:after="20"/>
              <w:jc w:val="center"/>
            </w:pPr>
            <w:r/>
            <w:r>
              <w:rPr>
                <w:rFonts w:ascii="Times New Roman" w:hAnsi="Times New Roman" w:cs="Times New Roman" w:eastAsia="Times New Roman"/>
                <w:b w:val="0"/>
                <w:i w:val="0"/>
                <w:sz w:val="20"/>
              </w:rPr>
              <w:t>&lt; 0.001</w:t>
            </w:r>
          </w:p>
        </w:tc>
      </w:tr>
      <w:tr>
        <w:tc>
          <w:tcPr>
            <w:tcW w:type="dxa" w:w="2340"/>
          </w:tcPr>
          <w:p>
            <w:pPr>
              <w:spacing w:line="240" w:lineRule="auto" w:before="20" w:after="20"/>
              <w:jc w:val="left"/>
            </w:pPr>
            <w:r/>
            <w:r>
              <w:rPr>
                <w:rFonts w:ascii="Times New Roman" w:hAnsi="Times New Roman" w:cs="Times New Roman" w:eastAsia="Times New Roman"/>
                <w:b w:val="0"/>
                <w:i w:val="0"/>
                <w:sz w:val="20"/>
              </w:rPr>
              <w:t>AI layer − logistic regression</w:t>
            </w:r>
          </w:p>
        </w:tc>
        <w:tc>
          <w:tcPr>
            <w:tcW w:type="dxa" w:w="2340"/>
          </w:tcPr>
          <w:p>
            <w:pPr>
              <w:spacing w:line="240" w:lineRule="auto" w:before="20" w:after="20"/>
              <w:jc w:val="center"/>
            </w:pPr>
            <w:r/>
            <w:r>
              <w:rPr>
                <w:rFonts w:ascii="Times New Roman" w:hAnsi="Times New Roman" w:cs="Times New Roman" w:eastAsia="Times New Roman"/>
                <w:b w:val="0"/>
                <w:i w:val="0"/>
                <w:sz w:val="20"/>
              </w:rPr>
              <w:t>+0.0180</w:t>
            </w:r>
          </w:p>
        </w:tc>
        <w:tc>
          <w:tcPr>
            <w:tcW w:type="dxa" w:w="2340"/>
          </w:tcPr>
          <w:p>
            <w:pPr>
              <w:spacing w:line="240" w:lineRule="auto" w:before="20" w:after="20"/>
              <w:jc w:val="center"/>
            </w:pPr>
            <w:r/>
            <w:r>
              <w:rPr>
                <w:rFonts w:ascii="Times New Roman" w:hAnsi="Times New Roman" w:cs="Times New Roman" w:eastAsia="Times New Roman"/>
                <w:b w:val="0"/>
                <w:i w:val="0"/>
                <w:sz w:val="20"/>
              </w:rPr>
              <w:t>0.0117 to 0.0247</w:t>
            </w:r>
          </w:p>
        </w:tc>
        <w:tc>
          <w:tcPr>
            <w:tcW w:type="dxa" w:w="2340"/>
          </w:tcPr>
          <w:p>
            <w:pPr>
              <w:spacing w:line="240" w:lineRule="auto" w:before="20" w:after="20"/>
              <w:jc w:val="center"/>
            </w:pPr>
            <w:r/>
            <w:r>
              <w:rPr>
                <w:rFonts w:ascii="Times New Roman" w:hAnsi="Times New Roman" w:cs="Times New Roman" w:eastAsia="Times New Roman"/>
                <w:b w:val="0"/>
                <w:i w:val="0"/>
                <w:sz w:val="20"/>
              </w:rPr>
              <w:t>&lt; 0.001</w:t>
            </w:r>
          </w:p>
        </w:tc>
      </w:tr>
      <w:tr>
        <w:tc>
          <w:tcPr>
            <w:tcW w:type="dxa" w:w="2340"/>
          </w:tcPr>
          <w:p>
            <w:pPr>
              <w:spacing w:line="240" w:lineRule="auto" w:before="20" w:after="20"/>
              <w:jc w:val="left"/>
            </w:pPr>
            <w:r/>
            <w:r>
              <w:rPr>
                <w:rFonts w:ascii="Times New Roman" w:hAnsi="Times New Roman" w:cs="Times New Roman" w:eastAsia="Times New Roman"/>
                <w:b w:val="0"/>
                <w:i w:val="0"/>
                <w:sz w:val="20"/>
              </w:rPr>
              <w:t>Knowledge layer − logistic regression</w:t>
            </w:r>
          </w:p>
        </w:tc>
        <w:tc>
          <w:tcPr>
            <w:tcW w:type="dxa" w:w="2340"/>
          </w:tcPr>
          <w:p>
            <w:pPr>
              <w:spacing w:line="240" w:lineRule="auto" w:before="20" w:after="20"/>
              <w:jc w:val="center"/>
            </w:pPr>
            <w:r/>
            <w:r>
              <w:rPr>
                <w:rFonts w:ascii="Times New Roman" w:hAnsi="Times New Roman" w:cs="Times New Roman" w:eastAsia="Times New Roman"/>
                <w:b w:val="0"/>
                <w:i w:val="0"/>
                <w:sz w:val="20"/>
              </w:rPr>
              <w:t>−0.0198</w:t>
            </w:r>
          </w:p>
        </w:tc>
        <w:tc>
          <w:tcPr>
            <w:tcW w:type="dxa" w:w="2340"/>
          </w:tcPr>
          <w:p>
            <w:pPr>
              <w:spacing w:line="240" w:lineRule="auto" w:before="20" w:after="20"/>
              <w:jc w:val="center"/>
            </w:pPr>
            <w:r/>
            <w:r>
              <w:rPr>
                <w:rFonts w:ascii="Times New Roman" w:hAnsi="Times New Roman" w:cs="Times New Roman" w:eastAsia="Times New Roman"/>
                <w:b w:val="0"/>
                <w:i w:val="0"/>
                <w:sz w:val="20"/>
              </w:rPr>
              <w:t>−0.0279 to −0.0114</w:t>
            </w:r>
          </w:p>
        </w:tc>
        <w:tc>
          <w:tcPr>
            <w:tcW w:type="dxa" w:w="2340"/>
          </w:tcPr>
          <w:p>
            <w:pPr>
              <w:spacing w:line="240" w:lineRule="auto" w:before="20" w:after="20"/>
              <w:jc w:val="center"/>
            </w:pPr>
            <w:r/>
            <w:r>
              <w:rPr>
                <w:rFonts w:ascii="Times New Roman" w:hAnsi="Times New Roman" w:cs="Times New Roman" w:eastAsia="Times New Roman"/>
                <w:b w:val="0"/>
                <w:i w:val="0"/>
                <w:sz w:val="20"/>
              </w:rPr>
              <w:t>&lt; 0.001</w:t>
            </w:r>
          </w:p>
        </w:tc>
      </w:tr>
      <w:tr>
        <w:tc>
          <w:tcPr>
            <w:tcW w:type="dxa" w:w="2340"/>
          </w:tcPr>
          <w:p>
            <w:pPr>
              <w:spacing w:line="240" w:lineRule="auto" w:before="20" w:after="20"/>
              <w:jc w:val="left"/>
            </w:pPr>
            <w:r/>
            <w:r>
              <w:rPr>
                <w:rFonts w:ascii="Times New Roman" w:hAnsi="Times New Roman" w:cs="Times New Roman" w:eastAsia="Times New Roman"/>
                <w:b w:val="0"/>
                <w:i w:val="0"/>
                <w:sz w:val="20"/>
              </w:rPr>
              <w:t>KAID − AI layer</w:t>
            </w:r>
          </w:p>
        </w:tc>
        <w:tc>
          <w:tcPr>
            <w:tcW w:type="dxa" w:w="2340"/>
          </w:tcPr>
          <w:p>
            <w:pPr>
              <w:spacing w:line="240" w:lineRule="auto" w:before="20" w:after="20"/>
              <w:jc w:val="center"/>
            </w:pPr>
            <w:r/>
            <w:r>
              <w:rPr>
                <w:rFonts w:ascii="Times New Roman" w:hAnsi="Times New Roman" w:cs="Times New Roman" w:eastAsia="Times New Roman"/>
                <w:b w:val="0"/>
                <w:i w:val="0"/>
                <w:sz w:val="20"/>
              </w:rPr>
              <w:t>−0.0002</w:t>
            </w:r>
          </w:p>
        </w:tc>
        <w:tc>
          <w:tcPr>
            <w:tcW w:type="dxa" w:w="2340"/>
          </w:tcPr>
          <w:p>
            <w:pPr>
              <w:spacing w:line="240" w:lineRule="auto" w:before="20" w:after="20"/>
              <w:jc w:val="center"/>
            </w:pPr>
            <w:r/>
            <w:r>
              <w:rPr>
                <w:rFonts w:ascii="Times New Roman" w:hAnsi="Times New Roman" w:cs="Times New Roman" w:eastAsia="Times New Roman"/>
                <w:b w:val="0"/>
                <w:i w:val="0"/>
                <w:sz w:val="20"/>
              </w:rPr>
              <w:t>−0.0006 to 0.0001</w:t>
            </w:r>
          </w:p>
        </w:tc>
        <w:tc>
          <w:tcPr>
            <w:tcW w:type="dxa" w:w="2340"/>
          </w:tcPr>
          <w:p>
            <w:pPr>
              <w:spacing w:line="240" w:lineRule="auto" w:before="20" w:after="20"/>
              <w:jc w:val="center"/>
            </w:pPr>
            <w:r/>
            <w:r>
              <w:rPr>
                <w:rFonts w:ascii="Times New Roman" w:hAnsi="Times New Roman" w:cs="Times New Roman" w:eastAsia="Times New Roman"/>
                <w:b w:val="0"/>
                <w:i w:val="0"/>
                <w:sz w:val="20"/>
              </w:rPr>
              <w:t>0.223</w:t>
            </w:r>
          </w:p>
        </w:tc>
      </w:tr>
    </w:tbl>
    <w:p>
      <w:pPr>
        <w:spacing w:after="40"/>
      </w:pPr>
    </w:p>
    <w:p>
      <w:pPr>
        <w:spacing w:line="480" w:lineRule="auto" w:before="0" w:after="120"/>
        <w:jc w:val="both"/>
      </w:pPr>
      <w:r>
        <w:rPr>
          <w:rFonts w:ascii="Times New Roman" w:hAnsi="Times New Roman" w:cs="Times New Roman" w:eastAsia="Times New Roman"/>
          <w:b w:val="0"/>
          <w:i w:val="0"/>
          <w:sz w:val="22"/>
        </w:rPr>
        <w:t>Note. Each difference is the first method’s holdout AUC minus the second, on the same 2,932 firm-years, computed before rounding. The interval is the percentile interval of that paired difference across the same 2,000 enterprise draws (seed 42). All 2,000 replicates were retained. The two-sided p-value is twice the smaller tail, counting a replicate at zero in both tails, and is capped at 1. Where no replicate changed sign, p is reported as &lt; 0.001. A negative difference means the first method has the lower AUC. The stored p-value for KAID − AI layer is 0.223.</w:t>
      </w:r>
    </w:p>
    <w:p>
      <w:pPr>
        <w:spacing w:line="480" w:lineRule="auto" w:before="0" w:after="120"/>
        <w:jc w:val="both"/>
      </w:pPr>
      <w:r>
        <w:rPr>
          <w:rFonts w:ascii="Times New Roman" w:hAnsi="Times New Roman" w:cs="Times New Roman" w:eastAsia="Times New Roman"/>
          <w:b w:val="0"/>
          <w:i w:val="0"/>
          <w:sz w:val="24"/>
        </w:rPr>
        <w:t>The four scores read one survey record. Each of the six rules is a function of items the AI layer already receives: in-house R&amp;D, an R&amp;D department, external R&amp;D, training expenditure, and organizational, product, and process innovation. Marketing innovation, foreign ownership, group membership, firm size, country, year, and sector are the inputs the rules do not use. The knowledge layer is a calibrated, equal-weight compression of part of that record. Table 2 measures the cost of the compression: 0.0198 AUC against the linear model. The AI layer’s further gain of 0.0180 is real, and it is small beside the distance from chance (0.50) to the logistic score (0.8734). Most of the holdout discrimination is already linear. Putting the remaining 5% of the weight on the knowledge layer moves the probability toward that compression. The holdout difference is −0.0002 AUC, so the move does not improve on the AI layer. The training choice w = 0.95 and that holdout difference agree.</w:t>
      </w:r>
    </w:p>
    <w:p>
      <w:pPr>
        <w:spacing w:line="240" w:lineRule="auto" w:before="160" w:after="80"/>
        <w:jc w:val="center"/>
      </w:pPr>
      <w:r>
        <w:drawing>
          <wp:inline xmlns:a="http://schemas.openxmlformats.org/drawingml/2006/main" xmlns:pic="http://schemas.openxmlformats.org/drawingml/2006/picture">
            <wp:extent cx="5760720" cy="2443208"/>
            <wp:docPr id="1" name="Picture 1"/>
            <wp:cNvGraphicFramePr>
              <a:graphicFrameLocks noChangeAspect="1"/>
            </wp:cNvGraphicFramePr>
            <a:graphic>
              <a:graphicData uri="http://schemas.openxmlformats.org/drawingml/2006/picture">
                <pic:pic>
                  <pic:nvPicPr>
                    <pic:cNvPr id="0" name="figure1_decision.png"/>
                    <pic:cNvPicPr/>
                  </pic:nvPicPr>
                  <pic:blipFill>
                    <a:blip r:embed="rId10"/>
                    <a:stretch>
                      <a:fillRect/>
                    </a:stretch>
                  </pic:blipFill>
                  <pic:spPr>
                    <a:xfrm>
                      <a:off x="0" y="0"/>
                      <a:ext cx="5760720" cy="2443208"/>
                    </a:xfrm>
                    <a:prstGeom prst="rect"/>
                  </pic:spPr>
                </pic:pic>
              </a:graphicData>
            </a:graphic>
          </wp:inline>
        </w:drawing>
      </w:r>
    </w:p>
    <w:p>
      <w:pPr>
        <w:spacing w:line="480" w:lineRule="auto" w:before="160" w:after="80"/>
        <w:jc w:val="left"/>
      </w:pPr>
      <w:r>
        <w:rPr>
          <w:rFonts w:ascii="Times New Roman" w:hAnsi="Times New Roman" w:cs="Times New Roman" w:eastAsia="Times New Roman"/>
          <w:b/>
          <w:i w:val="0"/>
          <w:sz w:val="24"/>
        </w:rPr>
        <w:t xml:space="preserve">Fig. 1. </w:t>
      </w:r>
      <w:r>
        <w:rPr>
          <w:rFonts w:ascii="Times New Roman" w:hAnsi="Times New Roman" w:cs="Times New Roman" w:eastAsia="Times New Roman"/>
          <w:b w:val="0"/>
          <w:i w:val="0"/>
          <w:sz w:val="24"/>
        </w:rPr>
        <w:t>Holdout decision bands from the KAID score K. Panel (a) is the share of firm-years in which each knowledge routine fires. All six routines were observed for every retained firm-year. Panel (b) is the share coded ready, with a 95% enterprise-bootstrap interval. The dashed line is the holdout base rate, 23.3%. The three intervals do not overlap. Process innovation separates Hold from Prioritize. Training separates Develop from Prioritize.</w:t>
      </w:r>
    </w:p>
    <w:p>
      <w:pPr>
        <w:spacing w:line="480" w:lineRule="auto" w:before="0" w:after="120"/>
        <w:jc w:val="both"/>
      </w:pPr>
      <w:r>
        <w:rPr>
          <w:rFonts w:ascii="Times New Roman" w:hAnsi="Times New Roman" w:cs="Times New Roman" w:eastAsia="Times New Roman"/>
          <w:b w:val="0"/>
          <w:i w:val="0"/>
          <w:sz w:val="24"/>
        </w:rPr>
        <w:t>Fig. 1 is the screen those probabilities support. Of 2,932 holdout firm-years, 1,786 (60.9%) fall in Hold, 487 (16.6%) in Develop, and 659 (22.5%) in Prioritize. The ready counts are 72, 187, and 425, which sum to the 684 ready firm-years. The ready rates are 4.0% (95% interval 3.1–5.0), 38.4% (33.9–42.5), and 64.5% (60.7–68.2), against a holdout base rate of 23.3%. The intervals do not overlap. Prioritize contains 425 of the 684 ready firm-years (62.1%). It also contains 234 firm-years that are not ready, 35.5% of the band and 10.4% of the 2,248 firm-years that are not ready. Hold contains 1,714 of those 2,248 firm-years (76.2%) and places 72 ready firm-years in Hold.</w:t>
      </w:r>
    </w:p>
    <w:p>
      <w:pPr>
        <w:spacing w:line="480" w:lineRule="auto" w:before="0" w:after="120"/>
        <w:jc w:val="both"/>
      </w:pPr>
      <w:r>
        <w:rPr>
          <w:rFonts w:ascii="Times New Roman" w:hAnsi="Times New Roman" w:cs="Times New Roman" w:eastAsia="Times New Roman"/>
          <w:b w:val="0"/>
          <w:i w:val="0"/>
          <w:sz w:val="24"/>
        </w:rPr>
        <w:t>The routine named for each band is a gap in the observed record, read by the rule in Section 2.3. Process innovation is absent for 93.5% of Hold firm-years and for 11.8% of Prioritize firm-years. Training is absent for 98.2% of Hold firm-years, and it is the routine that separates Develop: absent for 72.9% of Develop firm-years and for 29.3% of Prioritize firm-years. Inside Prioritize, the common routine most often still missing is knowledge creation. In 48.0% of those firm-years the firm reports neither in-house R&amp;D expenditure nor an R&amp;D department. External R&amp;D fires for 6.0% of the estimation sample, so it is absent in every band and is not the recommendation.</w:t>
      </w:r>
    </w:p>
    <w:p>
      <w:pPr>
        <w:spacing w:line="240" w:lineRule="auto" w:before="160" w:after="80"/>
        <w:jc w:val="center"/>
      </w:pPr>
      <w:r>
        <w:drawing>
          <wp:inline xmlns:a="http://schemas.openxmlformats.org/drawingml/2006/main" xmlns:pic="http://schemas.openxmlformats.org/drawingml/2006/picture">
            <wp:extent cx="5760720" cy="5676928"/>
            <wp:docPr id="2" name="Picture 2"/>
            <wp:cNvGraphicFramePr>
              <a:graphicFrameLocks noChangeAspect="1"/>
            </wp:cNvGraphicFramePr>
            <a:graphic>
              <a:graphicData uri="http://schemas.openxmlformats.org/drawingml/2006/picture">
                <pic:pic>
                  <pic:nvPicPr>
                    <pic:cNvPr id="0" name="figure2_roc.png"/>
                    <pic:cNvPicPr/>
                  </pic:nvPicPr>
                  <pic:blipFill>
                    <a:blip r:embed="rId11"/>
                    <a:stretch>
                      <a:fillRect/>
                    </a:stretch>
                  </pic:blipFill>
                  <pic:spPr>
                    <a:xfrm>
                      <a:off x="0" y="0"/>
                      <a:ext cx="5760720" cy="5676928"/>
                    </a:xfrm>
                    <a:prstGeom prst="rect"/>
                  </pic:spPr>
                </pic:pic>
              </a:graphicData>
            </a:graphic>
          </wp:inline>
        </w:drawing>
      </w:r>
    </w:p>
    <w:p>
      <w:pPr>
        <w:spacing w:line="480" w:lineRule="auto" w:before="160" w:after="80"/>
        <w:jc w:val="left"/>
      </w:pPr>
      <w:r>
        <w:rPr>
          <w:rFonts w:ascii="Times New Roman" w:hAnsi="Times New Roman" w:cs="Times New Roman" w:eastAsia="Times New Roman"/>
          <w:b/>
          <w:i w:val="0"/>
          <w:sz w:val="24"/>
        </w:rPr>
        <w:t xml:space="preserve">Fig. 2. </w:t>
      </w:r>
      <w:r>
        <w:rPr>
          <w:rFonts w:ascii="Times New Roman" w:hAnsi="Times New Roman" w:cs="Times New Roman" w:eastAsia="Times New Roman"/>
          <w:b w:val="0"/>
          <w:i w:val="0"/>
          <w:sz w:val="24"/>
        </w:rPr>
        <w:t>Holdout receiver-operating curves. The dashed KAID curve is marked so it remains visible where it lies on the AI curve. The training weight on the AI layer is 0.95, and the paired difference in AUC is −0.0002 (p = 0.223). The diagonal is chance.</w:t>
      </w:r>
    </w:p>
    <w:p>
      <w:pPr>
        <w:spacing w:line="480" w:lineRule="auto" w:before="0" w:after="120"/>
        <w:jc w:val="both"/>
      </w:pPr>
      <w:r>
        <w:rPr>
          <w:rFonts w:ascii="Times New Roman" w:hAnsi="Times New Roman" w:cs="Times New Roman" w:eastAsia="Times New Roman"/>
          <w:b w:val="0"/>
          <w:i w:val="0"/>
          <w:sz w:val="24"/>
        </w:rPr>
        <w:t>Fig. 2 shows the same paired result as overlapping curves. Process innovation is the strongest single boosting input. Dropping it and refitting the AI layer leaves a holdout AUC of 0.852, beside the knowledge layer at 0.8536 and still above chance. The lift from 0.852 to 0.8914 is the rest of the record. The score uses more than one item, and it depends on process innovation. On the 1,782 holdout firm-years where cooperation was asked, 38.3% are ready, against 23.3% in the full holdout, so that slice is a different population. Inside it, the main AI model has AUC 0.800, cooperation alone has AUC 0.634, and adding the item moves AUC from 0.800 to 0.811. The association is small where the question was fielded. It is not a reason to impute the item where the question was omitted. Firm-years in which the question was omitted were almost never coded ready.</w:t>
      </w:r>
    </w:p>
    <w:p>
      <w:pPr>
        <w:spacing w:line="480" w:lineRule="auto" w:before="240" w:after="120"/>
        <w:jc w:val="left"/>
      </w:pPr>
      <w:r>
        <w:rPr>
          <w:rFonts w:ascii="Times New Roman" w:hAnsi="Times New Roman" w:cs="Times New Roman" w:eastAsia="Times New Roman"/>
          <w:b/>
          <w:i w:val="0"/>
          <w:sz w:val="26"/>
        </w:rPr>
        <w:t>4. Discussion</w:t>
      </w:r>
    </w:p>
    <w:p>
      <w:pPr>
        <w:spacing w:line="480" w:lineRule="auto" w:before="0" w:after="120"/>
        <w:jc w:val="both"/>
      </w:pPr>
      <w:r>
        <w:rPr>
          <w:rFonts w:ascii="Times New Roman" w:hAnsi="Times New Roman" w:cs="Times New Roman" w:eastAsia="Times New Roman"/>
          <w:b w:val="0"/>
          <w:i w:val="0"/>
          <w:sz w:val="24"/>
        </w:rPr>
        <w:t>Section 3 separates a probability from a budget order. The probability belongs to the AI layer. The order belongs to the band and to the one routine that band is missing. An AUC alone does not name the routine the next budget would have to supply.</w:t>
      </w:r>
    </w:p>
    <w:p>
      <w:pPr>
        <w:spacing w:line="480" w:lineRule="auto" w:before="0" w:after="120"/>
        <w:jc w:val="both"/>
      </w:pPr>
      <w:r>
        <w:rPr>
          <w:rFonts w:ascii="Times New Roman" w:hAnsi="Times New Roman" w:cs="Times New Roman" w:eastAsia="Times New Roman"/>
          <w:b w:val="0"/>
          <w:i w:val="0"/>
          <w:sz w:val="24"/>
        </w:rPr>
        <w:t>Table 2 sets the size of the claim. The knowledge layer makes the innovation record readable and gives up 0.0198 AUC to the linear model. That loss is a property of the equal-weight compression. The AI layer then gains 0.0180 over the linear model by using the same items flexibly, together with marketing innovation, ownership, firm size, country, year, and sector. Reviews treat an artificial-intelligence output as an input to the innovation process rather than as a substitute for the routines around it [15–17]. Returning 5% of the weight to the knowledge probability does not raise holdout AUC (difference −0.0002; p = 0.223). A multidisciplinary agenda asks for organizational consequences from artificial intelligence, not only for a higher score [30]. The higher score is not the result. The result a manager can use, once the probability is known, is the named routine. A reader who wants only the probability can stop at the AI layer.</w:t>
      </w:r>
    </w:p>
    <w:p>
      <w:pPr>
        <w:spacing w:line="480" w:lineRule="auto" w:before="0" w:after="120"/>
        <w:jc w:val="both"/>
      </w:pPr>
      <w:r>
        <w:rPr>
          <w:rFonts w:ascii="Times New Roman" w:hAnsi="Times New Roman" w:cs="Times New Roman" w:eastAsia="Times New Roman"/>
          <w:b w:val="0"/>
          <w:i w:val="0"/>
          <w:sz w:val="24"/>
        </w:rPr>
        <w:t>The budget use is the band in Fig. 1. A data-centric offer is an offer a customer would pay for [4], and digital entrepreneurship is the decision to pursue that offer [5]. Hold is the large, low-readiness group, and its distinguishing gap is process innovation. Develop lies above the base rate, and its distinguishing gap is training. Prioritize concentrates 62.1% of ready firm-years and is still not ready in 35.5% of the firm-years it contains, so it is a shortlist rather than a clearance to spend. Knowledge creation remains absent in 48.0% of that shortlist. Capability studies locate performance in dynamic, operational, entrepreneurial, or analytics-management capabilities rather than in the stock of data alone [6–10]. This paper does not estimate those mediators. It reports the routine the band is missing. Process innovation, and the product and business-model changes around it, are the content the digital-transformation literature assigns to the change [24–27]. Knowledge creation is the routine the knowledge-based view treats as the firm’s way of integrating specialist knowledge so that it can be used [13]. The holdout shows where those routines are absent. It does not show that installing the named routine causes readiness.</w:t>
      </w:r>
    </w:p>
    <w:p>
      <w:pPr>
        <w:spacing w:line="480" w:lineRule="auto" w:before="0" w:after="120"/>
        <w:jc w:val="both"/>
      </w:pPr>
      <w:r>
        <w:rPr>
          <w:rFonts w:ascii="Times New Roman" w:hAnsi="Times New Roman" w:cs="Times New Roman" w:eastAsia="Times New Roman"/>
          <w:b w:val="0"/>
          <w:i w:val="0"/>
          <w:sz w:val="24"/>
        </w:rPr>
        <w:t>The cooperation check marks the boundary of the record. Where the question was fielded, adding it moves AUC from 0.800 to 0.811, on a slice in which 38.3% of firm-years are ready. Research on enterprise innovation capability treats cooperative culture as one condition accompanying digital transformation [35]. That association does not justify filling in an answer the survey never asked. Firm-years in which cooperation was not asked were almost never coded ready. The same pattern removed the internet-as-source item in Section 2.2.</w:t>
      </w:r>
    </w:p>
    <w:p>
      <w:pPr>
        <w:spacing w:line="480" w:lineRule="auto" w:before="0" w:after="120"/>
        <w:jc w:val="both"/>
      </w:pPr>
      <w:r>
        <w:rPr>
          <w:rFonts w:ascii="Times New Roman" w:hAnsi="Times New Roman" w:cs="Times New Roman" w:eastAsia="Times New Roman"/>
          <w:b w:val="0"/>
          <w:i w:val="0"/>
          <w:sz w:val="24"/>
        </w:rPr>
        <w:t>Three contributions follow, each one bounded by the test. The first is a readiness label built only from digital markers, so an innovation survey is not scored against the digital spend it is meant to anticipate. The second is the enterprise holdout: a linear baseline, the knowledge layer, and the AI layer, paired on enterprises that do not cross the split, together with a negative result on the blend. The third is the set of bands. Their ready rates do not overlap, and each band names one missing routine. The studies cited in the introduction map the transformation, the capability path, and the readiness construct [1,3,23]. The comparison they do not report is the one in Section 3.</w:t>
      </w:r>
    </w:p>
    <w:p>
      <w:pPr>
        <w:spacing w:line="480" w:lineRule="auto" w:before="240" w:after="120"/>
        <w:jc w:val="left"/>
      </w:pPr>
      <w:r>
        <w:rPr>
          <w:rFonts w:ascii="Times New Roman" w:hAnsi="Times New Roman" w:cs="Times New Roman" w:eastAsia="Times New Roman"/>
          <w:b/>
          <w:i w:val="0"/>
          <w:sz w:val="26"/>
        </w:rPr>
        <w:t>5. Limitations</w:t>
      </w:r>
    </w:p>
    <w:p>
      <w:pPr>
        <w:spacing w:line="480" w:lineRule="auto" w:before="0" w:after="120"/>
        <w:jc w:val="both"/>
      </w:pPr>
      <w:r>
        <w:rPr>
          <w:rFonts w:ascii="Times New Roman" w:hAnsi="Times New Roman" w:cs="Times New Roman" w:eastAsia="Times New Roman"/>
          <w:b w:val="0"/>
          <w:i w:val="0"/>
          <w:sz w:val="24"/>
        </w:rPr>
        <w:t>The label is a survey proxy for a digital footprint. It is not revenue from a data product, and it is not a completed transformation. Readiness, as reviewed in the literature, also includes management capability, human capability, and culture [23]. Those dimensions are not among the five markers. The five countries and the years 2009–2016 are the waves in which enough digital markers were asked. A website was on the questionnaire for a quarter of the estimation sample, so the label is a digital-spend and digital-organization bundle, with the website used where it was asked. Process innovation can include support activities under the Oslo Manual [32]. Dropping that item and refitting the AI layer leaves AUC 0.852, so a material part of the discrimination sits on a routine that can lie close to the digital label even though the spend items themselves are excluded from the predictors. The design is cross-sectional. Training can follow a digital project as well as precede it, and the same timing problem applies to the other routines. The blend result concerns this compression of items the booster already sees. It does not speak to a knowledge source that is absent from the feature list. The bootstrap resamples enterprises. It is not a survey-weighted population inference, and it does not refit the model inside each replicate, so the intervals describe the holdout scores rather than the sampling variability of a refitted booster. Sections 1 and 4 position the test against the studies cited there. They are not a census of the readiness literature.</w:t>
      </w:r>
    </w:p>
    <w:p>
      <w:pPr>
        <w:spacing w:line="480" w:lineRule="auto" w:before="0" w:after="120"/>
        <w:jc w:val="both"/>
      </w:pPr>
      <w:r>
        <w:rPr>
          <w:rFonts w:ascii="Times New Roman" w:hAnsi="Times New Roman" w:cs="Times New Roman" w:eastAsia="Times New Roman"/>
          <w:b w:val="0"/>
          <w:i w:val="0"/>
          <w:sz w:val="24"/>
        </w:rPr>
        <w:t>The microdata are not included. LAIS is distributed by the Inter-American Development Bank under CC BY-NC-ND 3.0 IGO. The script downloads the public file, rebuilds both research figures and the graphical abstract, and writes the metrics.</w:t>
      </w:r>
    </w:p>
    <w:p>
      <w:pPr>
        <w:spacing w:line="480" w:lineRule="auto" w:before="240" w:after="120"/>
        <w:jc w:val="left"/>
      </w:pPr>
      <w:r>
        <w:rPr>
          <w:rFonts w:ascii="Times New Roman" w:hAnsi="Times New Roman" w:cs="Times New Roman" w:eastAsia="Times New Roman"/>
          <w:b/>
          <w:i w:val="0"/>
          <w:sz w:val="26"/>
        </w:rPr>
        <w:t>6. Conclusion</w:t>
      </w:r>
    </w:p>
    <w:p>
      <w:pPr>
        <w:spacing w:line="480" w:lineRule="auto" w:before="0" w:after="120"/>
        <w:jc w:val="both"/>
      </w:pPr>
      <w:r>
        <w:rPr>
          <w:rFonts w:ascii="Times New Roman" w:hAnsi="Times New Roman" w:cs="Times New Roman" w:eastAsia="Times New Roman"/>
          <w:b w:val="0"/>
          <w:i w:val="0"/>
          <w:sz w:val="24"/>
        </w:rPr>
        <w:t>KAID returns two objects from an enterprise innovation record: a probability of digital-transformation readiness, and a band that names one missing routine. Across 2,932 holdout firm-years the probability belongs to the AI layer. Logistic regression already reaches AUC 0.8734, the knowledge layer sits 0.0198 below it, and blending the two probabilities does not help (p = 0.223). The bands still separate realized readiness, from 4.0% in Hold to 64.5% in Prioritize, and they point to process innovation, training, or knowledge creation.</w:t>
      </w:r>
    </w:p>
    <w:p>
      <w:pPr>
        <w:spacing w:line="480" w:lineRule="auto" w:before="0" w:after="120"/>
        <w:jc w:val="both"/>
      </w:pPr>
      <w:r>
        <w:rPr>
          <w:rFonts w:ascii="Times New Roman" w:hAnsi="Times New Roman" w:cs="Times New Roman" w:eastAsia="Times New Roman"/>
          <w:b w:val="0"/>
          <w:i w:val="0"/>
          <w:sz w:val="24"/>
        </w:rPr>
        <w:t>Used before a firm has revenue from a digital product, the band is a budget order for a data-centric offer. Prioritize is a shortlist, and 35.5% of the firm-years in it are not ready. Hold is where the routine that co-occurs with readiness is missing. The screen is not a valuation of the offer, and it is not evidence that buying the named routine will cause readiness. The probability and the routine answer different questions. On this holdout, averaging them does not improve the probability.</w:t>
      </w:r>
    </w:p>
    <w:p>
      <w:pPr>
        <w:spacing w:line="480" w:lineRule="auto" w:before="240" w:after="120"/>
        <w:jc w:val="left"/>
      </w:pPr>
      <w:r>
        <w:rPr>
          <w:rFonts w:ascii="Times New Roman" w:hAnsi="Times New Roman" w:cs="Times New Roman" w:eastAsia="Times New Roman"/>
          <w:b/>
          <w:i w:val="0"/>
          <w:sz w:val="26"/>
        </w:rPr>
        <w:t>CRediT authorship contribution statement</w:t>
      </w:r>
    </w:p>
    <w:p>
      <w:pPr>
        <w:spacing w:line="480" w:lineRule="auto" w:before="0" w:after="120"/>
        <w:jc w:val="both"/>
      </w:pPr>
      <w:r>
        <w:rPr>
          <w:rFonts w:ascii="Times New Roman" w:hAnsi="Times New Roman" w:cs="Times New Roman" w:eastAsia="Times New Roman"/>
          <w:b w:val="0"/>
          <w:i w:val="0"/>
          <w:sz w:val="24"/>
        </w:rPr>
        <w:t>Sai Vignesh Akkineni: Conceptualization, Methodology, Software, Validation, Formal analysis, Investigation, Data curation, Writing – original draft, Writing – review and editing, Visualization.</w:t>
      </w:r>
    </w:p>
    <w:p>
      <w:pPr>
        <w:spacing w:line="480" w:lineRule="auto" w:before="240" w:after="120"/>
        <w:jc w:val="left"/>
      </w:pPr>
      <w:r>
        <w:rPr>
          <w:rFonts w:ascii="Times New Roman" w:hAnsi="Times New Roman" w:cs="Times New Roman" w:eastAsia="Times New Roman"/>
          <w:b/>
          <w:i w:val="0"/>
          <w:sz w:val="26"/>
        </w:rPr>
        <w:t>Declaration of competing interest</w:t>
      </w:r>
    </w:p>
    <w:p>
      <w:pPr>
        <w:spacing w:line="480" w:lineRule="auto" w:before="0" w:after="120"/>
        <w:jc w:val="both"/>
      </w:pPr>
      <w:r>
        <w:rPr>
          <w:rFonts w:ascii="Times New Roman" w:hAnsi="Times New Roman" w:cs="Times New Roman" w:eastAsia="Times New Roman"/>
          <w:b w:val="0"/>
          <w:i w:val="0"/>
          <w:sz w:val="24"/>
        </w:rPr>
        <w:t>The author declares no known competing financial interests or personal relationships that could have appeared to influence the work reported in this paper.</w:t>
      </w:r>
    </w:p>
    <w:p>
      <w:pPr>
        <w:spacing w:line="480" w:lineRule="auto" w:before="240" w:after="120"/>
        <w:jc w:val="left"/>
      </w:pPr>
      <w:r>
        <w:rPr>
          <w:rFonts w:ascii="Times New Roman" w:hAnsi="Times New Roman" w:cs="Times New Roman" w:eastAsia="Times New Roman"/>
          <w:b/>
          <w:i w:val="0"/>
          <w:sz w:val="26"/>
        </w:rPr>
        <w:t>Declaration of generative AI and AI-assisted technologies in the manuscript preparation process</w:t>
      </w:r>
    </w:p>
    <w:p>
      <w:pPr>
        <w:spacing w:line="480" w:lineRule="auto" w:before="0" w:after="120"/>
        <w:jc w:val="both"/>
      </w:pPr>
      <w:r>
        <w:rPr>
          <w:rFonts w:ascii="Times New Roman" w:hAnsi="Times New Roman" w:cs="Times New Roman" w:eastAsia="Times New Roman"/>
          <w:b w:val="0"/>
          <w:i w:val="0"/>
          <w:sz w:val="24"/>
        </w:rPr>
        <w:t>During the preparation of this work, the author used Cursor in order to draft, edit, organize, and format the manuscript and to organize the analysis code. After using this tool, the author reviewed and edited the content as needed and takes full responsibility for the content of the published article. The estimates, tables, and figures are outputs of that analysis on the public survey file.</w:t>
      </w:r>
    </w:p>
    <w:p>
      <w:pPr>
        <w:spacing w:line="480" w:lineRule="auto" w:before="240" w:after="120"/>
        <w:jc w:val="left"/>
      </w:pPr>
      <w:r>
        <w:rPr>
          <w:rFonts w:ascii="Times New Roman" w:hAnsi="Times New Roman" w:cs="Times New Roman" w:eastAsia="Times New Roman"/>
          <w:b/>
          <w:i w:val="0"/>
          <w:sz w:val="26"/>
        </w:rPr>
        <w:t>Funding</w:t>
      </w:r>
    </w:p>
    <w:p>
      <w:pPr>
        <w:spacing w:line="480" w:lineRule="auto" w:before="0" w:after="120"/>
        <w:jc w:val="both"/>
      </w:pPr>
      <w:r>
        <w:rPr>
          <w:rFonts w:ascii="Times New Roman" w:hAnsi="Times New Roman" w:cs="Times New Roman" w:eastAsia="Times New Roman"/>
          <w:b w:val="0"/>
          <w:i w:val="0"/>
          <w:sz w:val="24"/>
        </w:rPr>
        <w:t>This research did not receive any specific grant from funding agencies in the public, commercial, or not-for-profit sectors.</w:t>
      </w:r>
    </w:p>
    <w:p>
      <w:pPr>
        <w:spacing w:line="480" w:lineRule="auto" w:before="240" w:after="120"/>
        <w:jc w:val="left"/>
      </w:pPr>
      <w:r>
        <w:rPr>
          <w:rFonts w:ascii="Times New Roman" w:hAnsi="Times New Roman" w:cs="Times New Roman" w:eastAsia="Times New Roman"/>
          <w:b/>
          <w:i w:val="0"/>
          <w:sz w:val="26"/>
        </w:rPr>
        <w:t>Ethical approval</w:t>
      </w:r>
    </w:p>
    <w:p>
      <w:pPr>
        <w:spacing w:line="480" w:lineRule="auto" w:before="0" w:after="120"/>
        <w:jc w:val="both"/>
      </w:pPr>
      <w:r>
        <w:rPr>
          <w:rFonts w:ascii="Times New Roman" w:hAnsi="Times New Roman" w:cs="Times New Roman" w:eastAsia="Times New Roman"/>
          <w:b w:val="0"/>
          <w:i w:val="0"/>
          <w:sz w:val="24"/>
        </w:rPr>
        <w:t>Ethical approval was not required. The study uses the public LAIS microdata and collected no new data from human participants.</w:t>
      </w:r>
    </w:p>
    <w:p>
      <w:pPr>
        <w:spacing w:line="480" w:lineRule="auto" w:before="240" w:after="120"/>
        <w:jc w:val="left"/>
      </w:pPr>
      <w:r>
        <w:rPr>
          <w:rFonts w:ascii="Times New Roman" w:hAnsi="Times New Roman" w:cs="Times New Roman" w:eastAsia="Times New Roman"/>
          <w:b/>
          <w:i w:val="0"/>
          <w:sz w:val="26"/>
        </w:rPr>
        <w:t>Data availability</w:t>
      </w:r>
    </w:p>
    <w:p>
      <w:pPr>
        <w:spacing w:line="480" w:lineRule="auto" w:before="0" w:after="120"/>
        <w:jc w:val="both"/>
      </w:pPr>
      <w:r>
        <w:rPr>
          <w:rFonts w:ascii="Times New Roman" w:hAnsi="Times New Roman" w:cs="Times New Roman" w:eastAsia="Times New Roman"/>
          <w:b w:val="0"/>
          <w:i w:val="0"/>
          <w:sz w:val="24"/>
        </w:rPr>
        <w:t xml:space="preserve">The firm microdata are the public LAIS file [34], https://doi.org/10.60966/hbz4-cm10. No new data were collected from human participants, and no identifiable firm record is reported. The microdata are not redistributed. Running </w:t>
      </w:r>
      <w:r>
        <w:rPr>
          <w:rFonts w:ascii="Consolas" w:hAnsi="Consolas" w:cs="Consolas" w:eastAsia="Consolas"/>
          <w:b w:val="0"/>
          <w:i w:val="0"/>
          <w:sz w:val="22"/>
        </w:rPr>
        <w:t>kaid.py</w:t>
      </w:r>
      <w:r>
        <w:rPr>
          <w:rFonts w:ascii="Times New Roman" w:hAnsi="Times New Roman" w:cs="Times New Roman" w:eastAsia="Times New Roman"/>
          <w:b w:val="0"/>
          <w:i w:val="0"/>
          <w:sz w:val="24"/>
        </w:rPr>
        <w:t xml:space="preserve"> downloads that file, refits every model under seed 42, and regenerates </w:t>
      </w:r>
      <w:r>
        <w:rPr>
          <w:rFonts w:ascii="Consolas" w:hAnsi="Consolas" w:cs="Consolas" w:eastAsia="Consolas"/>
          <w:b w:val="0"/>
          <w:i w:val="0"/>
          <w:sz w:val="22"/>
        </w:rPr>
        <w:t>figures/figure1_decision.png</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figures/figure2_roc.png</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figures/graphical_abstract.png</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figures/graphical_abstract.pdf</w:t>
      </w:r>
      <w:r>
        <w:rPr>
          <w:rFonts w:ascii="Times New Roman" w:hAnsi="Times New Roman" w:cs="Times New Roman" w:eastAsia="Times New Roman"/>
          <w:b w:val="0"/>
          <w:i w:val="0"/>
          <w:sz w:val="24"/>
        </w:rPr>
        <w:t xml:space="preserve">, and </w:t>
      </w:r>
      <w:r>
        <w:rPr>
          <w:rFonts w:ascii="Consolas" w:hAnsi="Consolas" w:cs="Consolas" w:eastAsia="Consolas"/>
          <w:b w:val="0"/>
          <w:i w:val="0"/>
          <w:sz w:val="22"/>
        </w:rPr>
        <w:t>results.json</w:t>
      </w:r>
      <w:r>
        <w:rPr>
          <w:rFonts w:ascii="Times New Roman" w:hAnsi="Times New Roman" w:cs="Times New Roman" w:eastAsia="Times New Roman"/>
          <w:b w:val="0"/>
          <w:i w:val="0"/>
          <w:sz w:val="24"/>
        </w:rPr>
        <w:t>.</w:t>
      </w:r>
    </w:p>
    <w:p>
      <w:pPr>
        <w:spacing w:line="480" w:lineRule="auto" w:before="240" w:after="120"/>
        <w:jc w:val="left"/>
      </w:pPr>
      <w:r>
        <w:rPr>
          <w:rFonts w:ascii="Times New Roman" w:hAnsi="Times New Roman" w:cs="Times New Roman" w:eastAsia="Times New Roman"/>
          <w:b/>
          <w:i w:val="0"/>
          <w:sz w:val="26"/>
        </w:rPr>
        <w:t>References</w:t>
      </w:r>
    </w:p>
    <w:p>
      <w:pPr>
        <w:spacing w:line="480" w:lineRule="auto" w:before="0" w:after="120"/>
        <w:ind w:left="576" w:hanging="576"/>
        <w:jc w:val="left"/>
      </w:pPr>
      <w:r>
        <w:rPr>
          <w:rFonts w:ascii="Times New Roman" w:hAnsi="Times New Roman" w:cs="Times New Roman" w:eastAsia="Times New Roman"/>
          <w:b w:val="0"/>
          <w:i w:val="0"/>
          <w:sz w:val="24"/>
        </w:rPr>
        <w:t>[1] C. Gong, V. Ribiere, Developing a unified definition of digital transformation, Technovation 102 (2021) 102217. https://doi.org/10.1016/j.technovation.2020.102217</w:t>
      </w:r>
    </w:p>
    <w:p>
      <w:pPr>
        <w:spacing w:line="480" w:lineRule="auto" w:before="0" w:after="120"/>
        <w:ind w:left="576" w:hanging="576"/>
        <w:jc w:val="left"/>
      </w:pPr>
      <w:r>
        <w:rPr>
          <w:rFonts w:ascii="Times New Roman" w:hAnsi="Times New Roman" w:cs="Times New Roman" w:eastAsia="Times New Roman"/>
          <w:b w:val="0"/>
          <w:i w:val="0"/>
          <w:sz w:val="24"/>
        </w:rPr>
        <w:t>[2] P.C. Verhoef, T. Broekhuizen, Y. Bart, A. Bhattacharya, J.Q. Dong, N. Fabian, M. Haenlein, Digital transformation: A multidisciplinary reflection and research agenda, J. Bus. Res. 122 (2021) 889–901. https://doi.org/10.1016/j.jbusres.2019.09.022</w:t>
      </w:r>
    </w:p>
    <w:p>
      <w:pPr>
        <w:spacing w:line="480" w:lineRule="auto" w:before="0" w:after="120"/>
        <w:ind w:left="576" w:hanging="576"/>
        <w:jc w:val="left"/>
      </w:pPr>
      <w:r>
        <w:rPr>
          <w:rFonts w:ascii="Times New Roman" w:hAnsi="Times New Roman" w:cs="Times New Roman" w:eastAsia="Times New Roman"/>
          <w:b w:val="0"/>
          <w:i w:val="0"/>
          <w:sz w:val="24"/>
        </w:rPr>
        <w:t>[3] G. Vial, Understanding digital transformation: A review and a research agenda, J. Strateg. Inf. Syst. 28 (2019) 118–144. https://doi.org/10.1016/j.jsis.2019.01.003</w:t>
      </w:r>
    </w:p>
    <w:p>
      <w:pPr>
        <w:spacing w:line="480" w:lineRule="auto" w:before="0" w:after="120"/>
        <w:ind w:left="576" w:hanging="576"/>
        <w:jc w:val="left"/>
      </w:pPr>
      <w:r>
        <w:rPr>
          <w:rFonts w:ascii="Times New Roman" w:hAnsi="Times New Roman" w:cs="Times New Roman" w:eastAsia="Times New Roman"/>
          <w:b w:val="0"/>
          <w:i w:val="0"/>
          <w:sz w:val="24"/>
        </w:rPr>
        <w:t>[4] P.M. Hartmann, M. Zaki, N. Feldmann, A. Neely, Capturing value from big data – a taxonomy of data-driven business models used by start-up firms, Int. J. Oper. Prod. Manag. 36 (2016) 1382–1406. https://doi.org/10.1108/IJOPM-02-2014-0098</w:t>
      </w:r>
    </w:p>
    <w:p>
      <w:pPr>
        <w:spacing w:line="480" w:lineRule="auto" w:before="0" w:after="120"/>
        <w:ind w:left="576" w:hanging="576"/>
        <w:jc w:val="left"/>
      </w:pPr>
      <w:r>
        <w:rPr>
          <w:rFonts w:ascii="Times New Roman" w:hAnsi="Times New Roman" w:cs="Times New Roman" w:eastAsia="Times New Roman"/>
          <w:b w:val="0"/>
          <w:i w:val="0"/>
          <w:sz w:val="24"/>
        </w:rPr>
        <w:t>[5] S. Nambisan, Digital entrepreneurship: Toward a digital technology perspective of entrepreneurship, Entrep. Theory Pract. 41 (2017) 1029–1055. https://doi.org/10.1111/etap.12254</w:t>
      </w:r>
    </w:p>
    <w:p>
      <w:pPr>
        <w:spacing w:line="480" w:lineRule="auto" w:before="0" w:after="120"/>
        <w:ind w:left="576" w:hanging="576"/>
        <w:jc w:val="left"/>
      </w:pPr>
      <w:r>
        <w:rPr>
          <w:rFonts w:ascii="Times New Roman" w:hAnsi="Times New Roman" w:cs="Times New Roman" w:eastAsia="Times New Roman"/>
          <w:b w:val="0"/>
          <w:i w:val="0"/>
          <w:sz w:val="24"/>
        </w:rPr>
        <w:t>[6] F. Ciampi, S. Demi, A. Magrini, G. Marzi, A. Papa, Exploring the impact of big data analytics capabilities on business model innovation: The mediating role of entrepreneurial orientation, J. Bus. Res. 123 (2021) 1–13. https://doi.org/10.1016/j.jbusres.2020.09.023</w:t>
      </w:r>
    </w:p>
    <w:p>
      <w:pPr>
        <w:spacing w:line="480" w:lineRule="auto" w:before="0" w:after="120"/>
        <w:ind w:left="576" w:hanging="576"/>
        <w:jc w:val="left"/>
      </w:pPr>
      <w:r>
        <w:rPr>
          <w:rFonts w:ascii="Times New Roman" w:hAnsi="Times New Roman" w:cs="Times New Roman" w:eastAsia="Times New Roman"/>
          <w:b w:val="0"/>
          <w:i w:val="0"/>
          <w:sz w:val="24"/>
        </w:rPr>
        <w:t>[7] S. Fosso Wamba, A. Gunasekaran, S. Akter, S.J.-f. Ren, R. Dubey, S.J. Childe, Big data analytics and firm performance: Effects of dynamic capabilities, J. Bus. Res. 70 (2017) 356–365. https://doi.org/10.1016/j.jbusres.2016.08.009</w:t>
      </w:r>
    </w:p>
    <w:p>
      <w:pPr>
        <w:spacing w:line="480" w:lineRule="auto" w:before="0" w:after="120"/>
        <w:ind w:left="576" w:hanging="576"/>
        <w:jc w:val="left"/>
      </w:pPr>
      <w:r>
        <w:rPr>
          <w:rFonts w:ascii="Times New Roman" w:hAnsi="Times New Roman" w:cs="Times New Roman" w:eastAsia="Times New Roman"/>
          <w:b w:val="0"/>
          <w:i w:val="0"/>
          <w:sz w:val="24"/>
        </w:rPr>
        <w:t>[8] P. Mikalef, J. Krogstie, I.O. Pappas, P. Pavlou, Exploring the relationship between big data analytics capability and competitive performance: The mediating roles of dynamic and operational capabilities, Inf. Manag. 57 (2020) 103169. https://doi.org/10.1016/j.im.2019.05.004</w:t>
      </w:r>
    </w:p>
    <w:p>
      <w:pPr>
        <w:spacing w:line="480" w:lineRule="auto" w:before="0" w:after="120"/>
        <w:ind w:left="576" w:hanging="576"/>
        <w:jc w:val="left"/>
      </w:pPr>
      <w:r>
        <w:rPr>
          <w:rFonts w:ascii="Times New Roman" w:hAnsi="Times New Roman" w:cs="Times New Roman" w:eastAsia="Times New Roman"/>
          <w:b w:val="0"/>
          <w:i w:val="0"/>
          <w:sz w:val="24"/>
        </w:rPr>
        <w:t>[9] J. Song, Y. Xiang, B. Huang, Y. Xie, Y. Li, Exploring how big data analytics management capability fuel market performance: Evidence from a mediated moderation model, IEEE Trans. Eng. Manag. 71 (2024) 9080–9093. https://doi.org/10.1109/TEM.2023.3312774</w:t>
      </w:r>
    </w:p>
    <w:p>
      <w:pPr>
        <w:spacing w:line="480" w:lineRule="auto" w:before="0" w:after="120"/>
        <w:ind w:left="576" w:hanging="576"/>
        <w:jc w:val="left"/>
      </w:pPr>
      <w:r>
        <w:rPr>
          <w:rFonts w:ascii="Times New Roman" w:hAnsi="Times New Roman" w:cs="Times New Roman" w:eastAsia="Times New Roman"/>
          <w:b w:val="0"/>
          <w:i w:val="0"/>
          <w:sz w:val="24"/>
        </w:rPr>
        <w:t>[10] D. Wu, X. Lin, S. Gupta, A.K. Kar, Big data analytics capability, dynamic capability, and firm performance: The moderating effect of IT–business strategic alignment, IEEE Trans. Eng. Manag. 71 (2024) 11638–11651. https://doi.org/10.1109/TEM.2024.3429648</w:t>
      </w:r>
    </w:p>
    <w:p>
      <w:pPr>
        <w:spacing w:line="480" w:lineRule="auto" w:before="0" w:after="120"/>
        <w:ind w:left="576" w:hanging="576"/>
        <w:jc w:val="left"/>
      </w:pPr>
      <w:r>
        <w:rPr>
          <w:rFonts w:ascii="Times New Roman" w:hAnsi="Times New Roman" w:cs="Times New Roman" w:eastAsia="Times New Roman"/>
          <w:b w:val="0"/>
          <w:i w:val="0"/>
          <w:sz w:val="24"/>
        </w:rPr>
        <w:t>[11] Y. Yang, N. Chen, H. Chen, The digital platform, enterprise digital transformation, and enterprise performance of cross-border e-commerce—From the perspective of digital transformation and data elements, J. Theor. Appl. Electron. Commer. Res. 18 (2023) 777–794. https://doi.org/10.3390/jtaer18020040</w:t>
      </w:r>
    </w:p>
    <w:p>
      <w:pPr>
        <w:spacing w:line="480" w:lineRule="auto" w:before="0" w:after="120"/>
        <w:ind w:left="576" w:hanging="576"/>
        <w:jc w:val="left"/>
      </w:pPr>
      <w:r>
        <w:rPr>
          <w:rFonts w:ascii="Times New Roman" w:hAnsi="Times New Roman" w:cs="Times New Roman" w:eastAsia="Times New Roman"/>
          <w:b w:val="0"/>
          <w:i w:val="0"/>
          <w:sz w:val="24"/>
        </w:rPr>
        <w:t>[12] A. Pundziene, L. Geryba, Managing technological innovation: Dynamic capabilities, collaborative innovation, and born-digital SMEs' performance, IEEE Trans. Eng. Manag. 71 (2024) 6968–6981. https://doi.org/10.1109/TEM.2023.3281722</w:t>
      </w:r>
    </w:p>
    <w:p>
      <w:pPr>
        <w:spacing w:line="480" w:lineRule="auto" w:before="0" w:after="120"/>
        <w:ind w:left="576" w:hanging="576"/>
        <w:jc w:val="left"/>
      </w:pPr>
      <w:r>
        <w:rPr>
          <w:rFonts w:ascii="Times New Roman" w:hAnsi="Times New Roman" w:cs="Times New Roman" w:eastAsia="Times New Roman"/>
          <w:b w:val="0"/>
          <w:i w:val="0"/>
          <w:sz w:val="24"/>
        </w:rPr>
        <w:t>[13] R.M. Grant, Toward a knowledge-based theory of the firm, Strateg. Manag. J. 17 (S2) (1996) 109–122. https://doi.org/10.1002/smj.4250171110</w:t>
      </w:r>
    </w:p>
    <w:p>
      <w:pPr>
        <w:spacing w:line="480" w:lineRule="auto" w:before="0" w:after="120"/>
        <w:ind w:left="576" w:hanging="576"/>
        <w:jc w:val="left"/>
      </w:pPr>
      <w:r>
        <w:rPr>
          <w:rFonts w:ascii="Times New Roman" w:hAnsi="Times New Roman" w:cs="Times New Roman" w:eastAsia="Times New Roman"/>
          <w:b w:val="0"/>
          <w:i w:val="0"/>
          <w:sz w:val="24"/>
        </w:rPr>
        <w:t>[14] B. Kogut, U. Zander, Knowledge of the firm, combinative capabilities, and the replication of technology, Organ. Sci. 3 (1992) 383–397. https://doi.org/10.1287/orsc.3.3.383</w:t>
      </w:r>
    </w:p>
    <w:p>
      <w:pPr>
        <w:spacing w:line="480" w:lineRule="auto" w:before="0" w:after="120"/>
        <w:ind w:left="576" w:hanging="576"/>
        <w:jc w:val="left"/>
      </w:pPr>
      <w:r>
        <w:rPr>
          <w:rFonts w:ascii="Times New Roman" w:hAnsi="Times New Roman" w:cs="Times New Roman" w:eastAsia="Times New Roman"/>
          <w:b w:val="0"/>
          <w:i w:val="0"/>
          <w:sz w:val="24"/>
        </w:rPr>
        <w:t>[15] N. Haefner, J. Wincent, V. Parida, O. Gassmann, Artificial intelligence and innovation management: A review, framework, and research agenda, Technol. Forecast. Soc. Change 162 (2021) 120392. https://doi.org/10.1016/j.techfore.2020.120392</w:t>
      </w:r>
    </w:p>
    <w:p>
      <w:pPr>
        <w:spacing w:line="480" w:lineRule="auto" w:before="0" w:after="120"/>
        <w:ind w:left="576" w:hanging="576"/>
        <w:jc w:val="left"/>
      </w:pPr>
      <w:r>
        <w:rPr>
          <w:rFonts w:ascii="Times New Roman" w:hAnsi="Times New Roman" w:cs="Times New Roman" w:eastAsia="Times New Roman"/>
          <w:b w:val="0"/>
          <w:i w:val="0"/>
          <w:sz w:val="24"/>
        </w:rPr>
        <w:t>[16] M.M. Mariani, I. Machado, V. Magrelli, Y.K. Dwivedi, Artificial intelligence in innovation research: A systematic review, conceptual framework, and future research directions, Technovation 122 (2023) 102623. https://doi.org/10.1016/j.technovation.2022.102623</w:t>
      </w:r>
    </w:p>
    <w:p>
      <w:pPr>
        <w:spacing w:line="480" w:lineRule="auto" w:before="0" w:after="120"/>
        <w:ind w:left="576" w:hanging="576"/>
        <w:jc w:val="left"/>
      </w:pPr>
      <w:r>
        <w:rPr>
          <w:rFonts w:ascii="Times New Roman" w:hAnsi="Times New Roman" w:cs="Times New Roman" w:eastAsia="Times New Roman"/>
          <w:b w:val="0"/>
          <w:i w:val="0"/>
          <w:sz w:val="24"/>
        </w:rPr>
        <w:t>[17] D. Sjödin, V. Parida, M. Palmié, J. Wincent, How AI capabilities enable business model innovation: Scaling AI through co-evolutionary processes and feedback loops, J. Bus. Res. 134 (2021) 574–587. https://doi.org/10.1016/j.jbusres.2021.05.009</w:t>
      </w:r>
    </w:p>
    <w:p>
      <w:pPr>
        <w:spacing w:line="480" w:lineRule="auto" w:before="0" w:after="120"/>
        <w:ind w:left="576" w:hanging="576"/>
        <w:jc w:val="left"/>
      </w:pPr>
      <w:r>
        <w:rPr>
          <w:rFonts w:ascii="Times New Roman" w:hAnsi="Times New Roman" w:cs="Times New Roman" w:eastAsia="Times New Roman"/>
          <w:b w:val="0"/>
          <w:i w:val="0"/>
          <w:sz w:val="24"/>
        </w:rPr>
        <w:t>[18] N.J. Foss, T. Saebi, Fifteen years of research on business model innovation: How far have we come, and where should we go?, J. Manag. 43 (2017) 200–227. https://doi.org/10.1177/0149206316675927</w:t>
      </w:r>
    </w:p>
    <w:p>
      <w:pPr>
        <w:spacing w:line="480" w:lineRule="auto" w:before="0" w:after="120"/>
        <w:ind w:left="576" w:hanging="576"/>
        <w:jc w:val="left"/>
      </w:pPr>
      <w:r>
        <w:rPr>
          <w:rFonts w:ascii="Times New Roman" w:hAnsi="Times New Roman" w:cs="Times New Roman" w:eastAsia="Times New Roman"/>
          <w:b w:val="0"/>
          <w:i w:val="0"/>
          <w:sz w:val="24"/>
        </w:rPr>
        <w:t>[19] D.J. Teece, Business models, business strategy and innovation, Long Range Plan. 43 (2010) 172–194. https://doi.org/10.1016/j.lrp.2009.07.003</w:t>
      </w:r>
    </w:p>
    <w:p>
      <w:pPr>
        <w:spacing w:line="480" w:lineRule="auto" w:before="0" w:after="120"/>
        <w:ind w:left="576" w:hanging="576"/>
        <w:jc w:val="left"/>
      </w:pPr>
      <w:r>
        <w:rPr>
          <w:rFonts w:ascii="Times New Roman" w:hAnsi="Times New Roman" w:cs="Times New Roman" w:eastAsia="Times New Roman"/>
          <w:b w:val="0"/>
          <w:i w:val="0"/>
          <w:sz w:val="24"/>
        </w:rPr>
        <w:t>[20] M.H.G. Schneider, D.K. Kanbach, S. Kraus, M. Dabić, Transform me if you can: Leveraging dynamic capabilities to manage digital transformation, IEEE Trans. Eng. Manag. 71 (2024) 9094–9108. https://doi.org/10.1109/TEM.2023.3319406</w:t>
      </w:r>
    </w:p>
    <w:p>
      <w:pPr>
        <w:spacing w:line="480" w:lineRule="auto" w:before="0" w:after="120"/>
        <w:ind w:left="576" w:hanging="576"/>
        <w:jc w:val="left"/>
      </w:pPr>
      <w:r>
        <w:rPr>
          <w:rFonts w:ascii="Times New Roman" w:hAnsi="Times New Roman" w:cs="Times New Roman" w:eastAsia="Times New Roman"/>
          <w:b w:val="0"/>
          <w:i w:val="0"/>
          <w:sz w:val="24"/>
        </w:rPr>
        <w:t>[21] K.S.R. Warner, M. Wäger, Building dynamic capabilities for digital transformation: An ongoing process of strategic renewal, Long Range Plan. 52 (2019) 326–349. https://doi.org/10.1016/j.lrp.2018.12.001</w:t>
      </w:r>
    </w:p>
    <w:p>
      <w:pPr>
        <w:spacing w:line="480" w:lineRule="auto" w:before="0" w:after="120"/>
        <w:ind w:left="576" w:hanging="576"/>
        <w:jc w:val="left"/>
      </w:pPr>
      <w:r>
        <w:rPr>
          <w:rFonts w:ascii="Times New Roman" w:hAnsi="Times New Roman" w:cs="Times New Roman" w:eastAsia="Times New Roman"/>
          <w:b w:val="0"/>
          <w:i w:val="0"/>
          <w:sz w:val="24"/>
        </w:rPr>
        <w:t>[22] A.J. Wohlleber, M. Bock, H. Birkel, E. Hartmann, Implementing vital dynamic capabilities to succeed in digital transformation: A multiple-case study in maritime container shipping, IEEE Trans. Eng. Manag. 71 (2024) 13627–13645. https://doi.org/10.1109/TEM.2022.3201770</w:t>
      </w:r>
    </w:p>
    <w:p>
      <w:pPr>
        <w:spacing w:line="480" w:lineRule="auto" w:before="0" w:after="120"/>
        <w:ind w:left="576" w:hanging="576"/>
        <w:jc w:val="left"/>
      </w:pPr>
      <w:r>
        <w:rPr>
          <w:rFonts w:ascii="Times New Roman" w:hAnsi="Times New Roman" w:cs="Times New Roman" w:eastAsia="Times New Roman"/>
          <w:b w:val="0"/>
          <w:i w:val="0"/>
          <w:sz w:val="24"/>
        </w:rPr>
        <w:t>[23] F. Michelotto, L.A. Joia, Organizational digital transformation readiness: An exploratory investigation, J. Theor. Appl. Electron. Commer. Res. 19 (2024) 3283–3304. https://doi.org/10.3390/jtaer19040159</w:t>
      </w:r>
    </w:p>
    <w:p>
      <w:pPr>
        <w:spacing w:line="480" w:lineRule="auto" w:before="0" w:after="120"/>
        <w:ind w:left="576" w:hanging="576"/>
        <w:jc w:val="left"/>
      </w:pPr>
      <w:r>
        <w:rPr>
          <w:rFonts w:ascii="Times New Roman" w:hAnsi="Times New Roman" w:cs="Times New Roman" w:eastAsia="Times New Roman"/>
          <w:b w:val="0"/>
          <w:i w:val="0"/>
          <w:sz w:val="24"/>
        </w:rPr>
        <w:t>[24] R. Liang, Y. Li, How digital transformation affects exploitative and exploratory innovation: An innovation structure perspective, IEEE Trans. Eng. Manag. 71 (2024) 10912–10923. https://doi.org/10.1109/TEM.2024.3408322</w:t>
      </w:r>
    </w:p>
    <w:p>
      <w:pPr>
        <w:spacing w:line="480" w:lineRule="auto" w:before="0" w:after="120"/>
        <w:ind w:left="576" w:hanging="576"/>
        <w:jc w:val="left"/>
      </w:pPr>
      <w:r>
        <w:rPr>
          <w:rFonts w:ascii="Times New Roman" w:hAnsi="Times New Roman" w:cs="Times New Roman" w:eastAsia="Times New Roman"/>
          <w:b w:val="0"/>
          <w:i w:val="0"/>
          <w:sz w:val="24"/>
        </w:rPr>
        <w:t>[25] S. Bresciani, K.-H. Huarng, A. Malhotra, A. Ferraris, Digital transformation as a springboard for product, process and business model innovation, J. Bus. Res. 128 (2021) 204–210. https://doi.org/10.1016/j.jbusres.2021.02.003</w:t>
      </w:r>
    </w:p>
    <w:p>
      <w:pPr>
        <w:spacing w:line="480" w:lineRule="auto" w:before="0" w:after="120"/>
        <w:ind w:left="576" w:hanging="576"/>
        <w:jc w:val="left"/>
      </w:pPr>
      <w:r>
        <w:rPr>
          <w:rFonts w:ascii="Times New Roman" w:hAnsi="Times New Roman" w:cs="Times New Roman" w:eastAsia="Times New Roman"/>
          <w:b w:val="0"/>
          <w:i w:val="0"/>
          <w:sz w:val="24"/>
        </w:rPr>
        <w:t>[26] A.G. Frank, G.H.S. Mendes, N.F. Ayala, A. Ghezzi, Servitization and Industry 4.0 convergence in the digital transformation of product firms: A business model innovation perspective, Technol. Forecast. Soc. Change 141 (2019) 341–351. https://doi.org/10.1016/j.techfore.2019.01.014</w:t>
      </w:r>
    </w:p>
    <w:p>
      <w:pPr>
        <w:spacing w:line="480" w:lineRule="auto" w:before="0" w:after="120"/>
        <w:ind w:left="576" w:hanging="576"/>
        <w:jc w:val="left"/>
      </w:pPr>
      <w:r>
        <w:rPr>
          <w:rFonts w:ascii="Times New Roman" w:hAnsi="Times New Roman" w:cs="Times New Roman" w:eastAsia="Times New Roman"/>
          <w:b w:val="0"/>
          <w:i w:val="0"/>
          <w:sz w:val="24"/>
        </w:rPr>
        <w:t>[27] M. Paiola, H. Gebauer, Internet of things technologies, digital servitization and business model innovation in BtoB manufacturing firms, Ind. Mark. Manag. 89 (2020) 245–264. https://doi.org/10.1016/j.indmarman.2020.03.009</w:t>
      </w:r>
    </w:p>
    <w:p>
      <w:pPr>
        <w:spacing w:line="480" w:lineRule="auto" w:before="0" w:after="120"/>
        <w:ind w:left="576" w:hanging="576"/>
        <w:jc w:val="left"/>
      </w:pPr>
      <w:r>
        <w:rPr>
          <w:rFonts w:ascii="Times New Roman" w:hAnsi="Times New Roman" w:cs="Times New Roman" w:eastAsia="Times New Roman"/>
          <w:b w:val="0"/>
          <w:i w:val="0"/>
          <w:sz w:val="24"/>
        </w:rPr>
        <w:t>[28] P. Gao, W. Wu, Y. Yang, Discovering themes and trends in digital transformation and innovation research, J. Theor. Appl. Electron. Commer. Res. 17 (2022) 1162–1184. https://doi.org/10.3390/jtaer17030059</w:t>
      </w:r>
    </w:p>
    <w:p>
      <w:pPr>
        <w:spacing w:line="480" w:lineRule="auto" w:before="0" w:after="120"/>
        <w:ind w:left="576" w:hanging="576"/>
        <w:jc w:val="left"/>
      </w:pPr>
      <w:r>
        <w:rPr>
          <w:rFonts w:ascii="Times New Roman" w:hAnsi="Times New Roman" w:cs="Times New Roman" w:eastAsia="Times New Roman"/>
          <w:b w:val="0"/>
          <w:i w:val="0"/>
          <w:sz w:val="24"/>
        </w:rPr>
        <w:t>[29] S. Kraus, S. Durst, J.J. Ferreira, P. Veiga, N. Kailer, A. Weinmann, Digital transformation in business and management research: An overview of the current status quo, Int. J. Inf. Manag. 63 (2022) 102466. https://doi.org/10.1016/j.ijinfomgt.2021.102466</w:t>
      </w:r>
    </w:p>
    <w:p>
      <w:pPr>
        <w:spacing w:line="480" w:lineRule="auto" w:before="0" w:after="120"/>
        <w:ind w:left="576" w:hanging="576"/>
        <w:jc w:val="left"/>
      </w:pPr>
      <w:r>
        <w:rPr>
          <w:rFonts w:ascii="Times New Roman" w:hAnsi="Times New Roman" w:cs="Times New Roman" w:eastAsia="Times New Roman"/>
          <w:b w:val="0"/>
          <w:i w:val="0"/>
          <w:sz w:val="24"/>
        </w:rPr>
        <w:t>[30] Y.K. Dwivedi, L. Hughes, E. Ismagilova, G. Aarts, C. Coombs, C. Crick, Y. Duan, R. Dwivedi, J. Edwards, A. Eirug, V. Galanos, P.V. Ilavarasan, M. Janssen, P. Jones, A.K. Kar, H. Kizgin, B. Kronemann, B. Lal, B. Lucini, … M.D. Williams, Artificial intelligence (AI): Multidisciplinary perspectives on emerging challenges, opportunities, and agenda for research, practice and policy, Int. J. Inf. Manag. 57 (2021) 101994. https://doi.org/10.1016/j.ijinfomgt.2019.08.002</w:t>
      </w:r>
    </w:p>
    <w:p>
      <w:pPr>
        <w:spacing w:line="480" w:lineRule="auto" w:before="0" w:after="120"/>
        <w:ind w:left="576" w:hanging="576"/>
        <w:jc w:val="left"/>
      </w:pPr>
      <w:r>
        <w:rPr>
          <w:rFonts w:ascii="Times New Roman" w:hAnsi="Times New Roman" w:cs="Times New Roman" w:eastAsia="Times New Roman"/>
          <w:b w:val="0"/>
          <w:i w:val="0"/>
          <w:sz w:val="24"/>
        </w:rPr>
        <w:t>[31] S. Chatterjee, N.P. Rana, Y.K. Dwivedi, A.M. Baabdullah, Understanding AI adoption in manufacturing and production firms using an integrated TAM-TOE model, Technol. Forecast. Soc. Change 170 (2021) 120880. https://doi.org/10.1016/j.techfore.2021.120880</w:t>
      </w:r>
    </w:p>
    <w:p>
      <w:pPr>
        <w:spacing w:line="480" w:lineRule="auto" w:before="0" w:after="120"/>
        <w:ind w:left="576" w:hanging="576"/>
        <w:jc w:val="left"/>
      </w:pPr>
      <w:r>
        <w:rPr>
          <w:rFonts w:ascii="Times New Roman" w:hAnsi="Times New Roman" w:cs="Times New Roman" w:eastAsia="Times New Roman"/>
          <w:b w:val="0"/>
          <w:i w:val="0"/>
          <w:sz w:val="24"/>
        </w:rPr>
        <w:t>[32] OECD, Eurostat, Oslo Manual 2018: Guidelines for collecting, reporting and using data on innovation, fourth ed., OECD Publishing, 2018. https://doi.org/10.1787/9789264304604-en</w:t>
      </w:r>
    </w:p>
    <w:p>
      <w:pPr>
        <w:spacing w:line="480" w:lineRule="auto" w:before="0" w:after="120"/>
        <w:ind w:left="576" w:hanging="576"/>
        <w:jc w:val="left"/>
      </w:pPr>
      <w:r>
        <w:rPr>
          <w:rFonts w:ascii="Times New Roman" w:hAnsi="Times New Roman" w:cs="Times New Roman" w:eastAsia="Times New Roman"/>
          <w:b w:val="0"/>
          <w:i w:val="0"/>
          <w:sz w:val="24"/>
        </w:rPr>
        <w:t>[33] J.H. Friedman, Greedy function approximation: A gradient boosting machine, Ann. Stat. 29 (2001) 1189–1232. https://doi.org/10.1214/aos/1013203451</w:t>
      </w:r>
    </w:p>
    <w:p>
      <w:pPr>
        <w:spacing w:line="480" w:lineRule="auto" w:before="0" w:after="120"/>
        <w:ind w:left="576" w:hanging="576"/>
        <w:jc w:val="left"/>
      </w:pPr>
      <w:r>
        <w:rPr>
          <w:rFonts w:ascii="Times New Roman" w:hAnsi="Times New Roman" w:cs="Times New Roman" w:eastAsia="Times New Roman"/>
          <w:b w:val="0"/>
          <w:i w:val="0"/>
          <w:sz w:val="24"/>
        </w:rPr>
        <w:t>[34] G. Crespi, C. Guillard, M. Salazar, F. Vargas, Harmonized Latin American innovation surveys database (LAIS): Firm-level microdata for the study of innovation: 2007–2017 [dataset], Inter-American Development Bank, 2022. https://doi.org/10.60966/hbz4-cm10</w:t>
      </w:r>
    </w:p>
    <w:p>
      <w:pPr>
        <w:spacing w:line="480" w:lineRule="auto" w:before="0" w:after="120"/>
        <w:ind w:left="576" w:hanging="576"/>
        <w:jc w:val="left"/>
      </w:pPr>
      <w:r>
        <w:rPr>
          <w:rFonts w:ascii="Times New Roman" w:hAnsi="Times New Roman" w:cs="Times New Roman" w:eastAsia="Times New Roman"/>
          <w:b w:val="0"/>
          <w:i w:val="0"/>
          <w:sz w:val="24"/>
        </w:rPr>
        <w:t>[35] T. Liu, J. Leng, S. Zhu, R. Fu, Digital transformation and enterprise innovation capability: From the perspectives of enterprise cooperative culture and innovative culture, J. Theor. Appl. Electron. Commer. Res. 20 (2025) 136. https://doi.org/10.3390/jtaer20020136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cs="Times New Roman" w:eastAsia="Times New Roman"/>
        <w:b w:val="0"/>
        <w:i/>
        <w:sz w:val="20"/>
      </w:rPr>
      <w:t xml:space="preserve">Knowledge-Based Systems  ·  </w:t>
    </w:r>
    <w:r>
      <w:rPr>
        <w:rFonts w:ascii="Times New Roman" w:hAnsi="Times New Roman" w:cs="Times New Roman" w:eastAsia="Times New Roman"/>
        <w:b w:val="0"/>
        <w:i w:val="0"/>
        <w:sz w:val="20"/>
      </w:rPr>
      <w:fldChar w:fldCharType="begin"/>
    </w:r>
    <w:r>
      <w:rPr>
        <w:rFonts w:ascii="Times New Roman" w:hAnsi="Times New Roman" w:cs="Times New Roman" w:eastAsia="Times New Roman"/>
        <w:b w:val="0"/>
        <w:i w:val="0"/>
        <w:sz w:val="20"/>
      </w:rPr>
      <w:instrText xml:space="preserve"> PAGE </w:instrText>
    </w:r>
    <w:r>
      <w:rPr>
        <w:rFonts w:ascii="Times New Roman" w:hAnsi="Times New Roman" w:cs="Times New Roman" w:eastAsia="Times New Roman"/>
        <w:b w:val="0"/>
        <w:i w:val="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knowledge-based AI decision-support model for predicting digital transformation readiness from enterprise innovation data</dc:title>
  <dc:subject>Short communication for Knowledge-Based Systems, with cover letter</dc:subject>
  <dc:creator>Sai Vignesh Akkineni</dc:creator>
  <cp:keywords/>
  <dc:description>generated by python-docx</dc:description>
  <cp:lastModifiedBy/>
  <cp:revision>1</cp:revision>
  <dcterms:created xsi:type="dcterms:W3CDTF">2013-12-23T23:15:00Z</dcterms:created>
  <dcterms:modified xsi:type="dcterms:W3CDTF">2013-12-23T23:15:00Z</dcterms:modified>
  <cp:category>Short communication</cp:category>
</cp:coreProperties>
</file>