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4657" w14:textId="2F406652" w:rsidR="0026204E" w:rsidRDefault="0026204E" w:rsidP="00DE6281">
      <w:pPr>
        <w:pBdr>
          <w:top w:val="single" w:sz="24" w:space="5" w:color="auto"/>
        </w:pBdr>
        <w:spacing w:before="360"/>
        <w:jc w:val="center"/>
        <w:rPr>
          <w:rFonts w:asciiTheme="majorHAnsi" w:hAnsiTheme="majorHAnsi"/>
          <w:b/>
          <w:sz w:val="36"/>
          <w:szCs w:val="21"/>
        </w:rPr>
      </w:pPr>
      <w:r>
        <w:rPr>
          <w:rFonts w:asciiTheme="majorHAnsi" w:hAnsiTheme="majorHAnsi"/>
          <w:b/>
          <w:sz w:val="36"/>
          <w:szCs w:val="21"/>
        </w:rPr>
        <w:t xml:space="preserve">Mark </w:t>
      </w:r>
      <w:r w:rsidRPr="00070F01">
        <w:rPr>
          <w:rFonts w:asciiTheme="majorHAnsi" w:hAnsiTheme="majorHAnsi"/>
          <w:b/>
          <w:sz w:val="36"/>
          <w:szCs w:val="21"/>
        </w:rPr>
        <w:t>Miller</w:t>
      </w:r>
    </w:p>
    <w:p w14:paraId="689F757A" w14:textId="5313F717" w:rsidR="0026204E" w:rsidRPr="00F30911" w:rsidRDefault="0026204E" w:rsidP="00E92070">
      <w:pPr>
        <w:keepNext/>
        <w:tabs>
          <w:tab w:val="right" w:pos="9900"/>
        </w:tabs>
        <w:spacing w:after="120"/>
        <w:jc w:val="center"/>
        <w:outlineLvl w:val="0"/>
        <w:rPr>
          <w:rFonts w:asciiTheme="minorHAnsi" w:hAnsiTheme="minorHAnsi"/>
          <w:smallCaps/>
          <w:sz w:val="21"/>
          <w:szCs w:val="21"/>
        </w:rPr>
      </w:pPr>
      <w:r w:rsidRPr="00E92070">
        <w:rPr>
          <w:rFonts w:asciiTheme="minorHAnsi" w:hAnsiTheme="minorHAnsi"/>
          <w:sz w:val="21"/>
          <w:szCs w:val="21"/>
        </w:rPr>
        <w:t>mmiller@rrmail.com</w:t>
      </w:r>
      <w:r>
        <w:rPr>
          <w:rFonts w:asciiTheme="minorHAnsi" w:hAnsiTheme="minorHAnsi"/>
          <w:sz w:val="21"/>
          <w:szCs w:val="21"/>
        </w:rPr>
        <w:t xml:space="preserve"> | </w:t>
      </w:r>
      <w:r w:rsidRPr="00F30911">
        <w:rPr>
          <w:rFonts w:asciiTheme="minorHAnsi" w:hAnsiTheme="minorHAnsi"/>
          <w:sz w:val="21"/>
          <w:szCs w:val="21"/>
        </w:rPr>
        <w:t xml:space="preserve">Miami, Florida </w:t>
      </w:r>
      <w:r>
        <w:rPr>
          <w:rFonts w:asciiTheme="minorHAnsi" w:hAnsiTheme="minorHAnsi"/>
          <w:sz w:val="21"/>
          <w:szCs w:val="21"/>
        </w:rPr>
        <w:t>| 111-222-3333</w:t>
      </w:r>
    </w:p>
    <w:p w14:paraId="50670995" w14:textId="77777777" w:rsidR="00E92070" w:rsidRPr="00E92070" w:rsidRDefault="00E92070" w:rsidP="00E92070">
      <w:pPr>
        <w:pBdr>
          <w:top w:val="single" w:sz="24" w:space="5" w:color="auto"/>
        </w:pBdr>
        <w:jc w:val="center"/>
        <w:rPr>
          <w:rFonts w:asciiTheme="majorHAnsi" w:eastAsia="MS Mincho" w:hAnsiTheme="majorHAnsi"/>
          <w:b/>
          <w:sz w:val="12"/>
          <w:szCs w:val="12"/>
        </w:rPr>
      </w:pPr>
    </w:p>
    <w:p w14:paraId="0E5B6687" w14:textId="693FD1F8" w:rsidR="002131FD" w:rsidRPr="001B73BD" w:rsidRDefault="0026204E" w:rsidP="00E92070">
      <w:pPr>
        <w:pBdr>
          <w:top w:val="single" w:sz="24" w:space="5" w:color="auto"/>
        </w:pBdr>
        <w:spacing w:after="240"/>
        <w:jc w:val="center"/>
        <w:rPr>
          <w:rFonts w:asciiTheme="majorHAnsi" w:eastAsia="MS Mincho" w:hAnsiTheme="majorHAnsi"/>
          <w:b/>
          <w:sz w:val="30"/>
        </w:rPr>
      </w:pPr>
      <w:r>
        <w:rPr>
          <w:rFonts w:asciiTheme="majorHAnsi" w:eastAsia="MS Mincho" w:hAnsiTheme="majorHAnsi"/>
          <w:b/>
          <w:sz w:val="30"/>
        </w:rPr>
        <w:t>Healthcare Administrator</w:t>
      </w:r>
    </w:p>
    <w:p w14:paraId="63790762" w14:textId="42990401" w:rsidR="00657D69" w:rsidRPr="001B73BD" w:rsidRDefault="00070F01" w:rsidP="00070F01">
      <w:pPr>
        <w:pBdr>
          <w:bottom w:val="single" w:sz="24" w:space="5" w:color="auto"/>
        </w:pBdr>
        <w:jc w:val="center"/>
        <w:rPr>
          <w:rFonts w:asciiTheme="minorHAnsi" w:eastAsia="MS Mincho" w:hAnsiTheme="minorHAnsi"/>
          <w:b/>
          <w:i/>
          <w:sz w:val="21"/>
          <w:szCs w:val="21"/>
        </w:rPr>
      </w:pPr>
      <w:r w:rsidRPr="00070F01">
        <w:rPr>
          <w:rFonts w:asciiTheme="minorHAnsi" w:eastAsia="MS Mincho" w:hAnsiTheme="minorHAnsi"/>
          <w:i/>
          <w:sz w:val="21"/>
          <w:szCs w:val="21"/>
        </w:rPr>
        <w:t>Accomplished professional with proven history of</w:t>
      </w:r>
      <w:r w:rsidRPr="00070F01">
        <w:t xml:space="preserve"> </w:t>
      </w:r>
      <w:r w:rsidRPr="00070F01">
        <w:rPr>
          <w:rFonts w:asciiTheme="minorHAnsi" w:eastAsia="MS Mincho" w:hAnsiTheme="minorHAnsi"/>
          <w:i/>
          <w:sz w:val="21"/>
          <w:szCs w:val="21"/>
        </w:rPr>
        <w:t>directing</w:t>
      </w:r>
      <w:r>
        <w:rPr>
          <w:rFonts w:asciiTheme="minorHAnsi" w:eastAsia="MS Mincho" w:hAnsiTheme="minorHAnsi"/>
          <w:i/>
          <w:sz w:val="21"/>
          <w:szCs w:val="21"/>
        </w:rPr>
        <w:t xml:space="preserve"> program management operations and </w:t>
      </w:r>
      <w:r w:rsidRPr="00070F01">
        <w:rPr>
          <w:rFonts w:asciiTheme="minorHAnsi" w:eastAsia="MS Mincho" w:hAnsiTheme="minorHAnsi"/>
          <w:i/>
          <w:sz w:val="21"/>
          <w:szCs w:val="21"/>
        </w:rPr>
        <w:t>boosting internati</w:t>
      </w:r>
      <w:r>
        <w:rPr>
          <w:rFonts w:asciiTheme="minorHAnsi" w:eastAsia="MS Mincho" w:hAnsiTheme="minorHAnsi"/>
          <w:i/>
          <w:sz w:val="21"/>
          <w:szCs w:val="21"/>
        </w:rPr>
        <w:t xml:space="preserve">onal impact in the </w:t>
      </w:r>
      <w:proofErr w:type="gramStart"/>
      <w:r>
        <w:rPr>
          <w:rFonts w:asciiTheme="minorHAnsi" w:eastAsia="MS Mincho" w:hAnsiTheme="minorHAnsi"/>
          <w:i/>
          <w:sz w:val="21"/>
          <w:szCs w:val="21"/>
        </w:rPr>
        <w:t>Health</w:t>
      </w:r>
      <w:proofErr w:type="gramEnd"/>
      <w:r>
        <w:rPr>
          <w:rFonts w:asciiTheme="minorHAnsi" w:eastAsia="MS Mincho" w:hAnsiTheme="minorHAnsi"/>
          <w:i/>
          <w:sz w:val="21"/>
          <w:szCs w:val="21"/>
        </w:rPr>
        <w:t xml:space="preserve"> space</w:t>
      </w:r>
      <w:r w:rsidRPr="00070F01">
        <w:rPr>
          <w:rFonts w:asciiTheme="minorHAnsi" w:eastAsia="MS Mincho" w:hAnsiTheme="minorHAnsi"/>
          <w:i/>
          <w:sz w:val="21"/>
          <w:szCs w:val="21"/>
        </w:rPr>
        <w:t xml:space="preserve"> </w:t>
      </w:r>
    </w:p>
    <w:p w14:paraId="351D193D" w14:textId="7A99A149" w:rsidR="00870C91" w:rsidRPr="001B73BD" w:rsidRDefault="00070F01" w:rsidP="0026204E">
      <w:pPr>
        <w:spacing w:before="360" w:after="240"/>
        <w:jc w:val="both"/>
        <w:rPr>
          <w:rFonts w:asciiTheme="minorHAnsi" w:hAnsiTheme="minorHAnsi"/>
          <w:sz w:val="22"/>
          <w:szCs w:val="22"/>
        </w:rPr>
      </w:pPr>
      <w:r w:rsidRPr="00070F01">
        <w:rPr>
          <w:rFonts w:asciiTheme="minorHAnsi" w:hAnsiTheme="minorHAnsi"/>
          <w:sz w:val="22"/>
          <w:szCs w:val="22"/>
        </w:rPr>
        <w:t xml:space="preserve">Result-driven director with experience of more than 20 years in defining </w:t>
      </w:r>
      <w:r>
        <w:rPr>
          <w:rFonts w:asciiTheme="minorHAnsi" w:hAnsiTheme="minorHAnsi"/>
          <w:sz w:val="22"/>
          <w:szCs w:val="22"/>
        </w:rPr>
        <w:t>and realizing program objectives, ensuring optimal business performance, and</w:t>
      </w:r>
      <w:r w:rsidRPr="00070F01">
        <w:t xml:space="preserve"> </w:t>
      </w:r>
      <w:r w:rsidRPr="00070F01">
        <w:rPr>
          <w:rFonts w:asciiTheme="minorHAnsi" w:hAnsiTheme="minorHAnsi"/>
          <w:sz w:val="22"/>
          <w:szCs w:val="22"/>
        </w:rPr>
        <w:t xml:space="preserve">elevating program </w:t>
      </w:r>
      <w:r>
        <w:rPr>
          <w:rFonts w:asciiTheme="minorHAnsi" w:hAnsiTheme="minorHAnsi"/>
          <w:sz w:val="22"/>
          <w:szCs w:val="22"/>
        </w:rPr>
        <w:t>progress</w:t>
      </w:r>
      <w:r w:rsidRPr="00070F01">
        <w:rPr>
          <w:rFonts w:asciiTheme="minorHAnsi" w:hAnsiTheme="minorHAnsi"/>
          <w:sz w:val="22"/>
          <w:szCs w:val="22"/>
        </w:rPr>
        <w:t>. Proven track record of leading highly proficient team, promoting health equity, maximizing strategic investments, and establishing solid relationships with community resources, internal or external groups, and boards of directors. Demonstrated proficiency in introducing robust health programs, ensuring compliance with program’s quality standards, and leveraging lucrative opportunities. A diligent leader and resourceful team builder with strong skills in developing a culture of teamwork, objectives realization, and performing well in complex situations. Strong Initiative at change, creativity, and improvement aimed at unlocking business potential through strategic and practical know-how</w:t>
      </w:r>
      <w:r w:rsidR="00CB6280" w:rsidRPr="00CB6280">
        <w:rPr>
          <w:rFonts w:asciiTheme="minorHAnsi" w:hAnsiTheme="minorHAnsi"/>
          <w:sz w:val="22"/>
          <w:szCs w:val="22"/>
        </w:rPr>
        <w:t xml:space="preserve">. </w:t>
      </w:r>
    </w:p>
    <w:p w14:paraId="385DFC72" w14:textId="77777777" w:rsidR="00657D69" w:rsidRPr="001A045A" w:rsidRDefault="00DE7792" w:rsidP="00DB5011">
      <w:pPr>
        <w:tabs>
          <w:tab w:val="right" w:pos="9648"/>
        </w:tabs>
        <w:spacing w:before="160" w:after="120"/>
        <w:jc w:val="center"/>
        <w:rPr>
          <w:rFonts w:asciiTheme="minorHAnsi" w:hAnsiTheme="minorHAnsi"/>
          <w:b/>
          <w:sz w:val="22"/>
          <w:szCs w:val="22"/>
        </w:rPr>
      </w:pPr>
      <w:r w:rsidRPr="001A045A">
        <w:rPr>
          <w:rFonts w:asciiTheme="minorHAnsi" w:hAnsiTheme="minorHAnsi"/>
          <w:b/>
          <w:sz w:val="22"/>
          <w:szCs w:val="22"/>
        </w:rPr>
        <w:t>Highlights of Expertise</w:t>
      </w:r>
    </w:p>
    <w:tbl>
      <w:tblPr>
        <w:tblW w:w="4651" w:type="pct"/>
        <w:jc w:val="center"/>
        <w:tblLook w:val="01E0" w:firstRow="1" w:lastRow="1" w:firstColumn="1" w:lastColumn="1" w:noHBand="0" w:noVBand="0"/>
      </w:tblPr>
      <w:tblGrid>
        <w:gridCol w:w="5022"/>
        <w:gridCol w:w="5024"/>
      </w:tblGrid>
      <w:tr w:rsidR="007A2CF3" w:rsidRPr="001B73BD" w14:paraId="44C8B5DA" w14:textId="77777777" w:rsidTr="00DB5011">
        <w:trPr>
          <w:trHeight w:val="70"/>
          <w:jc w:val="center"/>
        </w:trPr>
        <w:tc>
          <w:tcPr>
            <w:tcW w:w="4721" w:type="dxa"/>
          </w:tcPr>
          <w:p w14:paraId="08AA7F9A" w14:textId="73E21498" w:rsidR="007A2CF3" w:rsidRPr="001B73BD" w:rsidRDefault="00070F01" w:rsidP="00070F01">
            <w:pPr>
              <w:numPr>
                <w:ilvl w:val="0"/>
                <w:numId w:val="1"/>
              </w:numPr>
              <w:rPr>
                <w:rFonts w:asciiTheme="minorHAnsi" w:hAnsiTheme="minorHAnsi"/>
                <w:sz w:val="22"/>
                <w:szCs w:val="22"/>
              </w:rPr>
            </w:pPr>
            <w:r w:rsidRPr="00070F01">
              <w:rPr>
                <w:rFonts w:asciiTheme="minorHAnsi" w:hAnsiTheme="minorHAnsi"/>
                <w:sz w:val="22"/>
                <w:szCs w:val="22"/>
              </w:rPr>
              <w:t xml:space="preserve">Program Operations Management </w:t>
            </w:r>
          </w:p>
          <w:p w14:paraId="0FEDF6CA" w14:textId="39F40C02" w:rsidR="007A2CF3" w:rsidRPr="001B73BD" w:rsidRDefault="00070F01" w:rsidP="00070F01">
            <w:pPr>
              <w:numPr>
                <w:ilvl w:val="0"/>
                <w:numId w:val="1"/>
              </w:numPr>
              <w:rPr>
                <w:rFonts w:asciiTheme="minorHAnsi" w:hAnsiTheme="minorHAnsi"/>
                <w:sz w:val="22"/>
                <w:szCs w:val="22"/>
              </w:rPr>
            </w:pPr>
            <w:r w:rsidRPr="00070F01">
              <w:rPr>
                <w:rFonts w:asciiTheme="minorHAnsi" w:hAnsiTheme="minorHAnsi"/>
                <w:sz w:val="22"/>
                <w:szCs w:val="22"/>
              </w:rPr>
              <w:t xml:space="preserve">Strategic Program Planning &amp; Control </w:t>
            </w:r>
          </w:p>
          <w:p w14:paraId="46C441B6" w14:textId="6A3B9233" w:rsidR="005E6E46" w:rsidRDefault="00070F01" w:rsidP="00D431C3">
            <w:pPr>
              <w:numPr>
                <w:ilvl w:val="0"/>
                <w:numId w:val="1"/>
              </w:numPr>
              <w:rPr>
                <w:rFonts w:asciiTheme="minorHAnsi" w:hAnsiTheme="minorHAnsi"/>
                <w:sz w:val="22"/>
                <w:szCs w:val="22"/>
              </w:rPr>
            </w:pPr>
            <w:r>
              <w:rPr>
                <w:rFonts w:asciiTheme="minorHAnsi" w:hAnsiTheme="minorHAnsi"/>
                <w:sz w:val="22"/>
                <w:szCs w:val="22"/>
              </w:rPr>
              <w:t xml:space="preserve">Budget Forecasting &amp; Management </w:t>
            </w:r>
          </w:p>
          <w:p w14:paraId="13A997A2" w14:textId="2FCE4C9A" w:rsidR="007A2CF3" w:rsidRPr="001B73BD" w:rsidRDefault="00070F01" w:rsidP="00070F01">
            <w:pPr>
              <w:numPr>
                <w:ilvl w:val="0"/>
                <w:numId w:val="1"/>
              </w:numPr>
              <w:rPr>
                <w:rFonts w:asciiTheme="minorHAnsi" w:hAnsiTheme="minorHAnsi"/>
                <w:sz w:val="22"/>
                <w:szCs w:val="22"/>
              </w:rPr>
            </w:pPr>
            <w:r>
              <w:rPr>
                <w:rFonts w:asciiTheme="minorHAnsi" w:hAnsiTheme="minorHAnsi"/>
                <w:sz w:val="22"/>
                <w:szCs w:val="22"/>
              </w:rPr>
              <w:t>Team Building &amp; Networking</w:t>
            </w:r>
          </w:p>
          <w:p w14:paraId="6C2AE12A" w14:textId="262B4258" w:rsidR="007A2CF3" w:rsidRPr="001B73BD" w:rsidRDefault="00070F01" w:rsidP="00D431C3">
            <w:pPr>
              <w:numPr>
                <w:ilvl w:val="0"/>
                <w:numId w:val="1"/>
              </w:numPr>
              <w:rPr>
                <w:rFonts w:asciiTheme="minorHAnsi" w:hAnsiTheme="minorHAnsi"/>
                <w:sz w:val="22"/>
                <w:szCs w:val="22"/>
              </w:rPr>
            </w:pPr>
            <w:r>
              <w:rPr>
                <w:rFonts w:asciiTheme="minorHAnsi" w:hAnsiTheme="minorHAnsi"/>
                <w:sz w:val="22"/>
                <w:szCs w:val="22"/>
              </w:rPr>
              <w:t xml:space="preserve">Business Development &amp; Growth </w:t>
            </w:r>
          </w:p>
        </w:tc>
        <w:tc>
          <w:tcPr>
            <w:tcW w:w="4722" w:type="dxa"/>
          </w:tcPr>
          <w:p w14:paraId="440CF4C1" w14:textId="2AF0A1EE" w:rsidR="007A2CF3" w:rsidRPr="001B73BD" w:rsidRDefault="00070F01" w:rsidP="00D431C3">
            <w:pPr>
              <w:numPr>
                <w:ilvl w:val="0"/>
                <w:numId w:val="1"/>
              </w:numPr>
              <w:rPr>
                <w:rFonts w:asciiTheme="minorHAnsi" w:hAnsiTheme="minorHAnsi"/>
                <w:sz w:val="22"/>
                <w:szCs w:val="22"/>
              </w:rPr>
            </w:pPr>
            <w:r>
              <w:rPr>
                <w:rFonts w:asciiTheme="minorHAnsi" w:hAnsiTheme="minorHAnsi"/>
                <w:sz w:val="22"/>
                <w:szCs w:val="22"/>
              </w:rPr>
              <w:t xml:space="preserve">Networking &amp; Relationship Building </w:t>
            </w:r>
          </w:p>
          <w:p w14:paraId="40166A8D" w14:textId="29D15307" w:rsidR="00B33C1C" w:rsidRPr="001B73BD" w:rsidRDefault="00070F01" w:rsidP="00D431C3">
            <w:pPr>
              <w:numPr>
                <w:ilvl w:val="0"/>
                <w:numId w:val="1"/>
              </w:numPr>
              <w:rPr>
                <w:rFonts w:asciiTheme="minorHAnsi" w:hAnsiTheme="minorHAnsi"/>
                <w:sz w:val="22"/>
                <w:szCs w:val="22"/>
              </w:rPr>
            </w:pPr>
            <w:r>
              <w:rPr>
                <w:rFonts w:asciiTheme="minorHAnsi" w:hAnsiTheme="minorHAnsi"/>
                <w:sz w:val="22"/>
                <w:szCs w:val="22"/>
              </w:rPr>
              <w:t xml:space="preserve">Process &amp; Performance Improvement </w:t>
            </w:r>
          </w:p>
          <w:p w14:paraId="37028647" w14:textId="44AFCB67" w:rsidR="007A2CF3" w:rsidRPr="001B73BD" w:rsidRDefault="00070F01" w:rsidP="00D431C3">
            <w:pPr>
              <w:numPr>
                <w:ilvl w:val="0"/>
                <w:numId w:val="1"/>
              </w:numPr>
              <w:rPr>
                <w:rFonts w:asciiTheme="minorHAnsi" w:hAnsiTheme="minorHAnsi"/>
                <w:sz w:val="22"/>
                <w:szCs w:val="22"/>
              </w:rPr>
            </w:pPr>
            <w:r>
              <w:rPr>
                <w:rFonts w:asciiTheme="minorHAnsi" w:hAnsiTheme="minorHAnsi"/>
                <w:sz w:val="22"/>
                <w:szCs w:val="22"/>
              </w:rPr>
              <w:t xml:space="preserve">Issue Identification &amp; Resolution </w:t>
            </w:r>
          </w:p>
          <w:p w14:paraId="6C3578FB" w14:textId="0129D4EF" w:rsidR="005E6E46" w:rsidRDefault="00467D4F" w:rsidP="00D431C3">
            <w:pPr>
              <w:numPr>
                <w:ilvl w:val="0"/>
                <w:numId w:val="1"/>
              </w:numPr>
              <w:rPr>
                <w:rFonts w:asciiTheme="minorHAnsi" w:hAnsiTheme="minorHAnsi"/>
                <w:sz w:val="22"/>
                <w:szCs w:val="22"/>
              </w:rPr>
            </w:pPr>
            <w:r>
              <w:rPr>
                <w:rFonts w:asciiTheme="minorHAnsi" w:hAnsiTheme="minorHAnsi"/>
                <w:sz w:val="22"/>
                <w:szCs w:val="22"/>
              </w:rPr>
              <w:t>Welfare Needs Assessment</w:t>
            </w:r>
          </w:p>
          <w:p w14:paraId="77E26EFC" w14:textId="1001E5C9" w:rsidR="007A2CF3" w:rsidRPr="001B73BD" w:rsidRDefault="00467D4F" w:rsidP="00D431C3">
            <w:pPr>
              <w:numPr>
                <w:ilvl w:val="0"/>
                <w:numId w:val="1"/>
              </w:numPr>
              <w:rPr>
                <w:rFonts w:asciiTheme="minorHAnsi" w:hAnsiTheme="minorHAnsi"/>
                <w:sz w:val="22"/>
                <w:szCs w:val="22"/>
              </w:rPr>
            </w:pPr>
            <w:r>
              <w:rPr>
                <w:rFonts w:asciiTheme="minorHAnsi" w:hAnsiTheme="minorHAnsi"/>
                <w:sz w:val="22"/>
                <w:szCs w:val="22"/>
              </w:rPr>
              <w:t xml:space="preserve">Effective Communication </w:t>
            </w:r>
          </w:p>
        </w:tc>
      </w:tr>
    </w:tbl>
    <w:p w14:paraId="62F55338" w14:textId="77777777" w:rsidR="00A53944" w:rsidRPr="00DB5011" w:rsidRDefault="00A53944" w:rsidP="00DD4F02">
      <w:pPr>
        <w:jc w:val="both"/>
        <w:rPr>
          <w:rFonts w:ascii="Book Antiqua" w:hAnsi="Book Antiqua"/>
          <w:b/>
          <w:sz w:val="30"/>
          <w:szCs w:val="30"/>
        </w:rPr>
      </w:pPr>
    </w:p>
    <w:p w14:paraId="7886822D" w14:textId="3B329EB8" w:rsidR="00D352DA" w:rsidRPr="001B73BD" w:rsidRDefault="00467D4F" w:rsidP="00B8270A">
      <w:pPr>
        <w:pBdr>
          <w:bottom w:val="single" w:sz="8" w:space="3" w:color="auto"/>
        </w:pBdr>
        <w:tabs>
          <w:tab w:val="right" w:pos="9648"/>
        </w:tabs>
        <w:rPr>
          <w:rFonts w:asciiTheme="majorHAnsi" w:hAnsiTheme="majorHAnsi"/>
          <w:b/>
          <w:sz w:val="30"/>
          <w:szCs w:val="30"/>
        </w:rPr>
      </w:pPr>
      <w:r>
        <w:rPr>
          <w:rFonts w:asciiTheme="majorHAnsi" w:hAnsiTheme="majorHAnsi"/>
          <w:b/>
          <w:sz w:val="30"/>
          <w:szCs w:val="30"/>
        </w:rPr>
        <w:t>Key Contribution</w:t>
      </w:r>
    </w:p>
    <w:p w14:paraId="7788C244" w14:textId="77777777" w:rsidR="00D56F43" w:rsidRPr="00D56F43" w:rsidRDefault="00D56F43" w:rsidP="00D56F43">
      <w:pPr>
        <w:spacing w:line="259" w:lineRule="auto"/>
        <w:ind w:left="-86"/>
        <w:jc w:val="both"/>
        <w:rPr>
          <w:rFonts w:ascii="Calibri" w:eastAsia="Calibri" w:hAnsi="Calibri" w:cs="Arial"/>
          <w:sz w:val="22"/>
          <w:szCs w:val="22"/>
        </w:rPr>
      </w:pPr>
    </w:p>
    <w:p w14:paraId="4DA30073" w14:textId="2ECFDE1D" w:rsid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 xml:space="preserve">Enhanced service delivery and systems change performance by cultivating and maintaining positive relationships with external organization’s senior leadership, top-level federal agency officials, program officers, and congressional </w:t>
      </w:r>
      <w:proofErr w:type="gramStart"/>
      <w:r w:rsidRPr="00467D4F">
        <w:rPr>
          <w:rFonts w:ascii="Calibri" w:eastAsia="Calibri" w:hAnsi="Calibri" w:cs="Arial"/>
          <w:sz w:val="22"/>
          <w:szCs w:val="22"/>
        </w:rPr>
        <w:t>staff</w:t>
      </w:r>
      <w:proofErr w:type="gramEnd"/>
    </w:p>
    <w:p w14:paraId="7479375D" w14:textId="77777777" w:rsid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Encouraged service providers during capacity building and facilitated in evaluating and developing cutting-edge solutions with customized evidence informed interventions by overseeing multiple seed-grants.</w:t>
      </w:r>
    </w:p>
    <w:p w14:paraId="2EA941E5" w14:textId="77777777" w:rsid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Strengthened justice, equity, diversity, and inclusion for underserved populations by implementing effective approaches and adhering to procedures and principles of community based participatory research</w:t>
      </w:r>
    </w:p>
    <w:p w14:paraId="2E60829E" w14:textId="77777777" w:rsid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Spearheaded growth-focused business management tactics for accountability, such as project and matrix management, evaluation frameworks, change management, performance metrics, and LEAN Management</w:t>
      </w:r>
    </w:p>
    <w:p w14:paraId="3B7440C7" w14:textId="77777777" w:rsid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Played an integral role in overseeing 10+ federal, foundation, and private funded grants or cooperative agreements worth more than $25M by serving as a Principal or Co-Principal Investigator.</w:t>
      </w:r>
    </w:p>
    <w:p w14:paraId="6C52D277" w14:textId="77777777" w:rsid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Contributed in publishing more than 30 scientific manuscripts, book chapters, white papers, and congressional testimonies by properly performing detailed evaluation.</w:t>
      </w:r>
    </w:p>
    <w:p w14:paraId="3EF5DB47" w14:textId="77777777" w:rsid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Conducted in-depth assessment on grant proposals for multiple private, corporate, and federal funding agencies by managing grant review panels</w:t>
      </w:r>
    </w:p>
    <w:p w14:paraId="51027C70" w14:textId="6E7555AA" w:rsidR="00467D4F" w:rsidRPr="00467D4F" w:rsidRDefault="00467D4F" w:rsidP="000059AC">
      <w:pPr>
        <w:pStyle w:val="ListParagraph"/>
        <w:numPr>
          <w:ilvl w:val="0"/>
          <w:numId w:val="18"/>
        </w:numPr>
        <w:spacing w:before="80" w:line="259" w:lineRule="auto"/>
        <w:ind w:left="188" w:hanging="274"/>
        <w:contextualSpacing w:val="0"/>
        <w:jc w:val="both"/>
        <w:rPr>
          <w:rFonts w:ascii="Calibri" w:eastAsia="Calibri" w:hAnsi="Calibri" w:cs="Arial"/>
          <w:sz w:val="22"/>
          <w:szCs w:val="22"/>
        </w:rPr>
      </w:pPr>
      <w:r w:rsidRPr="00467D4F">
        <w:rPr>
          <w:rFonts w:ascii="Calibri" w:eastAsia="Calibri" w:hAnsi="Calibri" w:cs="Arial"/>
          <w:sz w:val="22"/>
          <w:szCs w:val="22"/>
        </w:rPr>
        <w:t>Leveraged strong communication skills while delivering various informative workshops, presentations, guest lectures, and media interviews</w:t>
      </w:r>
      <w:r>
        <w:rPr>
          <w:rFonts w:ascii="Calibri" w:eastAsia="Calibri" w:hAnsi="Calibri" w:cs="Arial"/>
          <w:sz w:val="22"/>
          <w:szCs w:val="22"/>
        </w:rPr>
        <w:t>.</w:t>
      </w:r>
    </w:p>
    <w:p w14:paraId="676CC2FB" w14:textId="0852DDF5" w:rsidR="00467D4F" w:rsidRPr="001B73BD" w:rsidRDefault="00467D4F" w:rsidP="0026204E">
      <w:pPr>
        <w:pBdr>
          <w:bottom w:val="single" w:sz="8" w:space="3" w:color="auto"/>
        </w:pBdr>
        <w:tabs>
          <w:tab w:val="right" w:pos="9648"/>
        </w:tabs>
        <w:spacing w:before="240"/>
        <w:rPr>
          <w:rFonts w:asciiTheme="majorHAnsi" w:hAnsiTheme="majorHAnsi"/>
          <w:b/>
          <w:sz w:val="30"/>
          <w:szCs w:val="30"/>
        </w:rPr>
      </w:pPr>
      <w:r>
        <w:rPr>
          <w:rFonts w:asciiTheme="majorHAnsi" w:hAnsiTheme="majorHAnsi"/>
          <w:b/>
          <w:sz w:val="30"/>
          <w:szCs w:val="30"/>
        </w:rPr>
        <w:lastRenderedPageBreak/>
        <w:t xml:space="preserve">Career Experience </w:t>
      </w:r>
    </w:p>
    <w:p w14:paraId="5B3CFBB2" w14:textId="2047C025" w:rsidR="00A1645B" w:rsidRPr="001B73BD" w:rsidRDefault="0026204E" w:rsidP="00F30911">
      <w:pPr>
        <w:tabs>
          <w:tab w:val="right" w:pos="9648"/>
        </w:tabs>
        <w:spacing w:before="160"/>
        <w:rPr>
          <w:rFonts w:asciiTheme="minorHAnsi" w:hAnsiTheme="minorHAnsi"/>
          <w:sz w:val="22"/>
          <w:szCs w:val="22"/>
        </w:rPr>
      </w:pPr>
      <w:r>
        <w:rPr>
          <w:rFonts w:asciiTheme="minorHAnsi" w:hAnsiTheme="minorHAnsi"/>
          <w:sz w:val="22"/>
          <w:szCs w:val="22"/>
        </w:rPr>
        <w:t>ABC Medica</w:t>
      </w:r>
      <w:r w:rsidRPr="00F30911">
        <w:rPr>
          <w:rFonts w:asciiTheme="minorHAnsi" w:hAnsiTheme="minorHAnsi"/>
          <w:sz w:val="22"/>
          <w:szCs w:val="22"/>
        </w:rPr>
        <w:t>l</w:t>
      </w:r>
      <w:r w:rsidR="00F30911" w:rsidRPr="00F30911">
        <w:rPr>
          <w:rFonts w:asciiTheme="minorHAnsi" w:hAnsiTheme="minorHAnsi"/>
          <w:sz w:val="22"/>
          <w:szCs w:val="22"/>
        </w:rPr>
        <w:t xml:space="preserve">, Inc., Santa Clara, CA </w:t>
      </w:r>
    </w:p>
    <w:p w14:paraId="4D90C58A" w14:textId="36A63BC6" w:rsidR="00380AE4" w:rsidRPr="001B73BD" w:rsidRDefault="00467D4F" w:rsidP="00C16C5A">
      <w:pPr>
        <w:spacing w:before="60"/>
        <w:jc w:val="both"/>
        <w:rPr>
          <w:rFonts w:asciiTheme="minorHAnsi" w:hAnsiTheme="minorHAnsi"/>
          <w:i/>
          <w:iCs/>
          <w:sz w:val="22"/>
          <w:szCs w:val="22"/>
        </w:rPr>
      </w:pPr>
      <w:r w:rsidRPr="00467D4F">
        <w:rPr>
          <w:rFonts w:asciiTheme="minorHAnsi" w:hAnsiTheme="minorHAnsi"/>
          <w:i/>
          <w:iCs/>
          <w:sz w:val="22"/>
          <w:szCs w:val="22"/>
        </w:rPr>
        <w:t>Accomplished health equity and maintained top-level impact by developing brand, internal culture engagement across staffs and external partners while leading Executive Leadership Team, CEO, Board of Directors, and GMHC President and executing successful organization-wide strategic initiatives</w:t>
      </w:r>
      <w:r w:rsidR="005E6E46" w:rsidRPr="005E6E46">
        <w:rPr>
          <w:rFonts w:asciiTheme="minorHAnsi" w:hAnsiTheme="minorHAnsi"/>
          <w:i/>
          <w:iCs/>
          <w:sz w:val="22"/>
          <w:szCs w:val="22"/>
        </w:rPr>
        <w:t>.</w:t>
      </w:r>
    </w:p>
    <w:p w14:paraId="45F70BDC" w14:textId="2B60775C" w:rsidR="00D352DA" w:rsidRPr="001B73BD" w:rsidRDefault="00467D4F" w:rsidP="00C16C5A">
      <w:pPr>
        <w:spacing w:before="60"/>
        <w:ind w:left="360"/>
        <w:jc w:val="both"/>
        <w:rPr>
          <w:rFonts w:asciiTheme="minorHAnsi" w:hAnsiTheme="minorHAnsi"/>
          <w:b/>
          <w:sz w:val="22"/>
          <w:szCs w:val="22"/>
        </w:rPr>
      </w:pPr>
      <w:r w:rsidRPr="00467D4F">
        <w:rPr>
          <w:rFonts w:asciiTheme="minorHAnsi" w:hAnsiTheme="minorHAnsi"/>
          <w:b/>
          <w:sz w:val="22"/>
          <w:szCs w:val="22"/>
        </w:rPr>
        <w:t xml:space="preserve">SENIOR </w:t>
      </w:r>
      <w:r w:rsidR="0026204E">
        <w:rPr>
          <w:rFonts w:asciiTheme="minorHAnsi" w:hAnsiTheme="minorHAnsi"/>
          <w:b/>
          <w:sz w:val="22"/>
          <w:szCs w:val="22"/>
        </w:rPr>
        <w:t>ADMINISTRATOR</w:t>
      </w:r>
      <w:r w:rsidR="00D56F43">
        <w:rPr>
          <w:rFonts w:asciiTheme="minorHAnsi" w:hAnsiTheme="minorHAnsi"/>
          <w:b/>
          <w:sz w:val="22"/>
          <w:szCs w:val="22"/>
        </w:rPr>
        <w:t xml:space="preserve"> </w:t>
      </w:r>
      <w:r w:rsidR="009369D5" w:rsidRPr="009369D5">
        <w:rPr>
          <w:rFonts w:asciiTheme="minorHAnsi" w:hAnsiTheme="minorHAnsi"/>
          <w:bCs/>
          <w:sz w:val="22"/>
          <w:szCs w:val="22"/>
        </w:rPr>
        <w:t>(H</w:t>
      </w:r>
      <w:r w:rsidR="009369D5">
        <w:rPr>
          <w:rFonts w:asciiTheme="minorHAnsi" w:hAnsiTheme="minorHAnsi"/>
          <w:sz w:val="22"/>
          <w:szCs w:val="22"/>
        </w:rPr>
        <w:t>EALTH EQUITY &amp; ACCESS)</w:t>
      </w:r>
      <w:r w:rsidRPr="00467D4F">
        <w:rPr>
          <w:rFonts w:asciiTheme="minorHAnsi" w:hAnsiTheme="minorHAnsi"/>
          <w:b/>
          <w:sz w:val="22"/>
          <w:szCs w:val="22"/>
        </w:rPr>
        <w:t xml:space="preserve"> </w:t>
      </w:r>
      <w:r w:rsidR="00A163CF" w:rsidRPr="001B73BD">
        <w:rPr>
          <w:rFonts w:asciiTheme="minorHAnsi" w:hAnsiTheme="minorHAnsi"/>
          <w:sz w:val="22"/>
          <w:szCs w:val="22"/>
        </w:rPr>
        <w:t>(20</w:t>
      </w:r>
      <w:r w:rsidR="0026204E">
        <w:rPr>
          <w:rFonts w:asciiTheme="minorHAnsi" w:hAnsiTheme="minorHAnsi"/>
          <w:sz w:val="22"/>
          <w:szCs w:val="22"/>
        </w:rPr>
        <w:t>18</w:t>
      </w:r>
      <w:r w:rsidR="00A163CF" w:rsidRPr="001B73BD">
        <w:rPr>
          <w:rFonts w:asciiTheme="minorHAnsi" w:hAnsiTheme="minorHAnsi"/>
          <w:sz w:val="22"/>
          <w:szCs w:val="22"/>
        </w:rPr>
        <w:t xml:space="preserve"> to Present)</w:t>
      </w:r>
    </w:p>
    <w:p w14:paraId="318ED0C3" w14:textId="0C1A9AF4" w:rsidR="00A1645B" w:rsidRPr="001B73BD" w:rsidRDefault="00467D4F" w:rsidP="00C16C5A">
      <w:pPr>
        <w:spacing w:before="60"/>
        <w:ind w:left="360"/>
        <w:jc w:val="both"/>
        <w:rPr>
          <w:rFonts w:asciiTheme="minorHAnsi" w:hAnsiTheme="minorHAnsi"/>
          <w:sz w:val="22"/>
          <w:szCs w:val="22"/>
        </w:rPr>
      </w:pPr>
      <w:r>
        <w:rPr>
          <w:rFonts w:asciiTheme="minorHAnsi" w:hAnsiTheme="minorHAnsi"/>
          <w:sz w:val="22"/>
          <w:szCs w:val="22"/>
        </w:rPr>
        <w:t>Develop and thoroughly assess</w:t>
      </w:r>
      <w:r w:rsidRPr="00467D4F">
        <w:rPr>
          <w:rFonts w:asciiTheme="minorHAnsi" w:hAnsiTheme="minorHAnsi"/>
          <w:sz w:val="22"/>
          <w:szCs w:val="22"/>
        </w:rPr>
        <w:t xml:space="preserve"> technical assistance, capacity building, and quality improvement programming of multiple organizations, such as Divisions, State Psychological Associations, University Departments, NGOs, CBOs, and Governmental Agencies. Oversee team performance deliverables and indicators, such as implementing theory of change, monitoring activity metrics, enhancing progress through data utilization, developing consistency and adherence, and elev</w:t>
      </w:r>
      <w:r w:rsidR="009369D5">
        <w:rPr>
          <w:rFonts w:asciiTheme="minorHAnsi" w:hAnsiTheme="minorHAnsi"/>
          <w:sz w:val="22"/>
          <w:szCs w:val="22"/>
        </w:rPr>
        <w:t xml:space="preserve">ating strategic impact. Promote health equity and decrease </w:t>
      </w:r>
      <w:r w:rsidRPr="00467D4F">
        <w:rPr>
          <w:rFonts w:asciiTheme="minorHAnsi" w:hAnsiTheme="minorHAnsi"/>
          <w:sz w:val="22"/>
          <w:szCs w:val="22"/>
        </w:rPr>
        <w:t>discrepancies by formulating and publishing profitable scientific information, practice implications, and policy recommendations between gatekeepers and stakeholder</w:t>
      </w:r>
      <w:r w:rsidR="00A1645B" w:rsidRPr="001B73BD">
        <w:rPr>
          <w:rFonts w:asciiTheme="minorHAnsi" w:hAnsiTheme="minorHAnsi"/>
          <w:sz w:val="22"/>
          <w:szCs w:val="22"/>
        </w:rPr>
        <w:t>.</w:t>
      </w:r>
    </w:p>
    <w:p w14:paraId="5C17798C" w14:textId="77777777" w:rsidR="00467D4F" w:rsidRDefault="00467D4F" w:rsidP="00C16C5A">
      <w:pPr>
        <w:numPr>
          <w:ilvl w:val="0"/>
          <w:numId w:val="5"/>
        </w:numPr>
        <w:tabs>
          <w:tab w:val="clear" w:pos="533"/>
        </w:tabs>
        <w:spacing w:before="60"/>
        <w:ind w:left="900" w:hanging="270"/>
        <w:jc w:val="both"/>
        <w:rPr>
          <w:rFonts w:asciiTheme="minorHAnsi" w:hAnsiTheme="minorHAnsi"/>
          <w:sz w:val="22"/>
          <w:szCs w:val="22"/>
        </w:rPr>
      </w:pPr>
      <w:bookmarkStart w:id="0" w:name="_Hlk28254805"/>
      <w:r w:rsidRPr="00467D4F">
        <w:rPr>
          <w:rFonts w:asciiTheme="minorHAnsi" w:hAnsiTheme="minorHAnsi"/>
          <w:sz w:val="22"/>
          <w:szCs w:val="22"/>
        </w:rPr>
        <w:t xml:space="preserve">Improved society living standards, health equity, and access across the world by strengthening company position through the advancement, communication, and application of psychology while driving transformation through human resources, science, technology, partnership, and process enhancement </w:t>
      </w:r>
    </w:p>
    <w:p w14:paraId="4EEB9A83" w14:textId="0B9EC49B" w:rsidR="00A1645B" w:rsidRPr="00467D4F" w:rsidRDefault="00467D4F" w:rsidP="00C16C5A">
      <w:pPr>
        <w:numPr>
          <w:ilvl w:val="0"/>
          <w:numId w:val="5"/>
        </w:numPr>
        <w:tabs>
          <w:tab w:val="clear" w:pos="533"/>
        </w:tabs>
        <w:spacing w:before="60"/>
        <w:ind w:left="900" w:hanging="270"/>
        <w:jc w:val="both"/>
        <w:rPr>
          <w:rFonts w:asciiTheme="minorHAnsi" w:hAnsiTheme="minorHAnsi"/>
          <w:sz w:val="22"/>
          <w:szCs w:val="22"/>
        </w:rPr>
      </w:pPr>
      <w:r w:rsidRPr="00467D4F">
        <w:rPr>
          <w:rFonts w:asciiTheme="minorHAnsi" w:hAnsiTheme="minorHAnsi"/>
          <w:sz w:val="22"/>
          <w:szCs w:val="22"/>
        </w:rPr>
        <w:t>Augmented health equity and access, socioeconomic status, and violence prevention portfolios focusing on BIPOC populations by leveraging company resources through evidence-based, ingenious, and scalable efforts while assisting action for impact culture of high skilled matrixed staff</w:t>
      </w:r>
      <w:r w:rsidR="005E6E46" w:rsidRPr="00467D4F">
        <w:rPr>
          <w:rFonts w:asciiTheme="minorHAnsi" w:hAnsiTheme="minorHAnsi"/>
          <w:sz w:val="22"/>
          <w:szCs w:val="22"/>
        </w:rPr>
        <w:t>.</w:t>
      </w:r>
    </w:p>
    <w:bookmarkEnd w:id="0"/>
    <w:p w14:paraId="076C6D89" w14:textId="01ADFEE3" w:rsidR="00CA3637" w:rsidRPr="001B73BD" w:rsidRDefault="0026204E" w:rsidP="00C16C5A">
      <w:pPr>
        <w:tabs>
          <w:tab w:val="right" w:pos="9648"/>
        </w:tabs>
        <w:spacing w:before="160"/>
        <w:jc w:val="both"/>
        <w:rPr>
          <w:rFonts w:asciiTheme="minorHAnsi" w:hAnsiTheme="minorHAnsi"/>
          <w:sz w:val="22"/>
          <w:szCs w:val="22"/>
        </w:rPr>
      </w:pPr>
      <w:r>
        <w:rPr>
          <w:rFonts w:asciiTheme="minorHAnsi" w:hAnsiTheme="minorHAnsi"/>
          <w:sz w:val="22"/>
          <w:szCs w:val="22"/>
        </w:rPr>
        <w:t>EFG Company,</w:t>
      </w:r>
      <w:r w:rsidR="00A40EAE" w:rsidRPr="00A40EAE">
        <w:rPr>
          <w:rFonts w:asciiTheme="minorHAnsi" w:hAnsiTheme="minorHAnsi"/>
          <w:sz w:val="22"/>
          <w:szCs w:val="22"/>
        </w:rPr>
        <w:t xml:space="preserve"> San Jose, CA</w:t>
      </w:r>
    </w:p>
    <w:p w14:paraId="65B2DB49" w14:textId="3A88C7F0" w:rsidR="00380AE4" w:rsidRPr="001B73BD" w:rsidRDefault="009369D5" w:rsidP="00C16C5A">
      <w:pPr>
        <w:spacing w:before="80"/>
        <w:jc w:val="both"/>
        <w:rPr>
          <w:rFonts w:asciiTheme="minorHAnsi" w:hAnsiTheme="minorHAnsi"/>
          <w:i/>
          <w:iCs/>
          <w:sz w:val="22"/>
          <w:szCs w:val="22"/>
        </w:rPr>
      </w:pPr>
      <w:r w:rsidRPr="009369D5">
        <w:rPr>
          <w:rFonts w:asciiTheme="minorHAnsi" w:hAnsiTheme="minorHAnsi"/>
          <w:i/>
          <w:iCs/>
          <w:sz w:val="22"/>
          <w:szCs w:val="22"/>
        </w:rPr>
        <w:t>Augmented community engagement among mental health providers by organizing and conducting more than 30 seed grants countrywide</w:t>
      </w:r>
      <w:r w:rsidR="00B33C1C" w:rsidRPr="001B73BD">
        <w:rPr>
          <w:rFonts w:asciiTheme="minorHAnsi" w:hAnsiTheme="minorHAnsi"/>
          <w:i/>
          <w:iCs/>
          <w:sz w:val="22"/>
          <w:szCs w:val="22"/>
        </w:rPr>
        <w:t>.</w:t>
      </w:r>
    </w:p>
    <w:p w14:paraId="19937A68" w14:textId="1A2C99E0" w:rsidR="00A1645B" w:rsidRPr="001B73BD" w:rsidRDefault="009369D5" w:rsidP="00C16C5A">
      <w:pPr>
        <w:spacing w:before="80"/>
        <w:ind w:left="360"/>
        <w:jc w:val="both"/>
        <w:rPr>
          <w:rFonts w:asciiTheme="minorHAnsi" w:hAnsiTheme="minorHAnsi"/>
          <w:sz w:val="22"/>
          <w:szCs w:val="22"/>
        </w:rPr>
      </w:pPr>
      <w:r w:rsidRPr="009369D5">
        <w:rPr>
          <w:rFonts w:asciiTheme="minorHAnsi" w:hAnsiTheme="minorHAnsi"/>
          <w:b/>
          <w:sz w:val="22"/>
          <w:szCs w:val="22"/>
        </w:rPr>
        <w:t>DIRECTOR</w:t>
      </w:r>
      <w:r>
        <w:rPr>
          <w:rFonts w:asciiTheme="minorHAnsi" w:hAnsiTheme="minorHAnsi"/>
          <w:b/>
          <w:sz w:val="22"/>
          <w:szCs w:val="22"/>
        </w:rPr>
        <w:t xml:space="preserve"> </w:t>
      </w:r>
      <w:r w:rsidRPr="009369D5">
        <w:rPr>
          <w:rFonts w:asciiTheme="minorHAnsi" w:hAnsiTheme="minorHAnsi"/>
          <w:bCs/>
          <w:sz w:val="22"/>
          <w:szCs w:val="22"/>
        </w:rPr>
        <w:t>(</w:t>
      </w:r>
      <w:r w:rsidRPr="009369D5">
        <w:rPr>
          <w:rFonts w:asciiTheme="minorHAnsi" w:hAnsiTheme="minorHAnsi"/>
          <w:sz w:val="22"/>
          <w:szCs w:val="22"/>
        </w:rPr>
        <w:t>ANTI-POVERTY PROGRAMS</w:t>
      </w:r>
      <w:r>
        <w:rPr>
          <w:rFonts w:asciiTheme="minorHAnsi" w:hAnsiTheme="minorHAnsi"/>
          <w:sz w:val="22"/>
          <w:szCs w:val="22"/>
        </w:rPr>
        <w:t>)</w:t>
      </w:r>
      <w:r w:rsidRPr="009369D5">
        <w:rPr>
          <w:rFonts w:asciiTheme="minorHAnsi" w:hAnsiTheme="minorHAnsi"/>
          <w:b/>
          <w:sz w:val="22"/>
          <w:szCs w:val="22"/>
        </w:rPr>
        <w:t xml:space="preserve"> </w:t>
      </w:r>
      <w:r w:rsidR="00836242" w:rsidRPr="001B73BD">
        <w:rPr>
          <w:rFonts w:asciiTheme="minorHAnsi" w:hAnsiTheme="minorHAnsi"/>
          <w:sz w:val="22"/>
          <w:szCs w:val="22"/>
        </w:rPr>
        <w:t>(</w:t>
      </w:r>
      <w:r w:rsidR="00D33AD4" w:rsidRPr="001B73BD">
        <w:rPr>
          <w:rFonts w:asciiTheme="minorHAnsi" w:hAnsiTheme="minorHAnsi"/>
          <w:sz w:val="22"/>
          <w:szCs w:val="22"/>
        </w:rPr>
        <w:t>20</w:t>
      </w:r>
      <w:r w:rsidR="0026204E">
        <w:rPr>
          <w:rFonts w:asciiTheme="minorHAnsi" w:hAnsiTheme="minorHAnsi"/>
          <w:sz w:val="22"/>
          <w:szCs w:val="22"/>
        </w:rPr>
        <w:t>12</w:t>
      </w:r>
      <w:r w:rsidR="007E77F5" w:rsidRPr="001B73BD">
        <w:rPr>
          <w:rFonts w:asciiTheme="minorHAnsi" w:hAnsiTheme="minorHAnsi"/>
          <w:sz w:val="22"/>
          <w:szCs w:val="22"/>
        </w:rPr>
        <w:t xml:space="preserve"> </w:t>
      </w:r>
      <w:r w:rsidR="00836242" w:rsidRPr="001B73BD">
        <w:rPr>
          <w:rFonts w:asciiTheme="minorHAnsi" w:hAnsiTheme="minorHAnsi"/>
          <w:sz w:val="22"/>
          <w:szCs w:val="22"/>
        </w:rPr>
        <w:t>to</w:t>
      </w:r>
      <w:r>
        <w:rPr>
          <w:rFonts w:asciiTheme="minorHAnsi" w:hAnsiTheme="minorHAnsi"/>
          <w:sz w:val="22"/>
          <w:szCs w:val="22"/>
        </w:rPr>
        <w:t xml:space="preserve"> </w:t>
      </w:r>
      <w:r w:rsidR="00672D9F" w:rsidRPr="001B73BD">
        <w:rPr>
          <w:rFonts w:asciiTheme="minorHAnsi" w:hAnsiTheme="minorHAnsi"/>
          <w:sz w:val="22"/>
          <w:szCs w:val="22"/>
        </w:rPr>
        <w:t>20</w:t>
      </w:r>
      <w:r w:rsidR="0026204E">
        <w:rPr>
          <w:rFonts w:asciiTheme="minorHAnsi" w:hAnsiTheme="minorHAnsi"/>
          <w:sz w:val="22"/>
          <w:szCs w:val="22"/>
        </w:rPr>
        <w:t>18)</w:t>
      </w:r>
    </w:p>
    <w:p w14:paraId="49CB9710" w14:textId="7B8E1598" w:rsidR="00486110" w:rsidRPr="001B73BD" w:rsidRDefault="009369D5" w:rsidP="00C16C5A">
      <w:pPr>
        <w:spacing w:before="80"/>
        <w:ind w:left="360"/>
        <w:jc w:val="both"/>
        <w:rPr>
          <w:rFonts w:asciiTheme="minorHAnsi" w:hAnsiTheme="minorHAnsi"/>
          <w:sz w:val="22"/>
          <w:szCs w:val="22"/>
        </w:rPr>
      </w:pPr>
      <w:r w:rsidRPr="009369D5">
        <w:rPr>
          <w:rFonts w:asciiTheme="minorHAnsi" w:hAnsiTheme="minorHAnsi"/>
          <w:sz w:val="22"/>
          <w:szCs w:val="22"/>
        </w:rPr>
        <w:t>Generated seamless execution of Anti-Poverty Programs by effectively leveraging resources and supervising all program operations, projects, initiatives, budgets, and strategic planning. Facilitated in representing organization and acted as a main bridge to governance groups, divisions, and outside organizations, universities, training sites, and state and regional affiliate organizations. Ensured down-the-line adherence to company standards while serving as a Principle Investigator to CDC/DCPC community capacity building cooperative agreement. Maintained smooth development, translation, and dissemination of mental health science by administering top-notch facilitation of the Committee on Anti-Poverty, task forces, working groups and ad hoc groups assigned to the office. Endorsed applications of mental health and poverty within the scope of extensive professional practice by determining issues and key indicators and working as a reliable advisor to GMHC staff and officials of affiliated groups</w:t>
      </w:r>
      <w:r w:rsidR="00836242" w:rsidRPr="001B73BD">
        <w:rPr>
          <w:rFonts w:asciiTheme="minorHAnsi" w:hAnsiTheme="minorHAnsi"/>
          <w:sz w:val="22"/>
          <w:szCs w:val="22"/>
        </w:rPr>
        <w:t xml:space="preserve">. </w:t>
      </w:r>
    </w:p>
    <w:p w14:paraId="6EBC437B" w14:textId="5656B6C1" w:rsidR="009369D5" w:rsidRDefault="009369D5" w:rsidP="00C16C5A">
      <w:pPr>
        <w:numPr>
          <w:ilvl w:val="0"/>
          <w:numId w:val="5"/>
        </w:numPr>
        <w:tabs>
          <w:tab w:val="clear" w:pos="533"/>
          <w:tab w:val="num" w:pos="900"/>
        </w:tabs>
        <w:spacing w:before="80"/>
        <w:ind w:left="900" w:hanging="270"/>
        <w:jc w:val="both"/>
        <w:rPr>
          <w:rFonts w:asciiTheme="minorHAnsi" w:hAnsiTheme="minorHAnsi"/>
          <w:sz w:val="22"/>
          <w:szCs w:val="22"/>
        </w:rPr>
      </w:pPr>
      <w:r w:rsidRPr="009369D5">
        <w:rPr>
          <w:rFonts w:asciiTheme="minorHAnsi" w:hAnsiTheme="minorHAnsi"/>
          <w:sz w:val="22"/>
          <w:szCs w:val="22"/>
        </w:rPr>
        <w:t xml:space="preserve">Realized company set goals by highlighting roles of poverty in health, education, and human welfare, increasing health equity </w:t>
      </w:r>
      <w:r w:rsidR="00E92070" w:rsidRPr="009369D5">
        <w:rPr>
          <w:rFonts w:asciiTheme="minorHAnsi" w:hAnsiTheme="minorHAnsi"/>
          <w:sz w:val="22"/>
          <w:szCs w:val="22"/>
        </w:rPr>
        <w:t>awareness</w:t>
      </w:r>
      <w:r w:rsidRPr="009369D5">
        <w:rPr>
          <w:rFonts w:asciiTheme="minorHAnsi" w:hAnsiTheme="minorHAnsi"/>
          <w:sz w:val="22"/>
          <w:szCs w:val="22"/>
        </w:rPr>
        <w:t xml:space="preserve">, and providing economic justice. </w:t>
      </w:r>
    </w:p>
    <w:p w14:paraId="396B77D8" w14:textId="77777777" w:rsidR="009369D5" w:rsidRDefault="009369D5" w:rsidP="00C16C5A">
      <w:pPr>
        <w:numPr>
          <w:ilvl w:val="0"/>
          <w:numId w:val="5"/>
        </w:numPr>
        <w:tabs>
          <w:tab w:val="clear" w:pos="533"/>
          <w:tab w:val="num" w:pos="900"/>
        </w:tabs>
        <w:spacing w:before="80"/>
        <w:ind w:left="900" w:hanging="270"/>
        <w:jc w:val="both"/>
        <w:rPr>
          <w:rFonts w:asciiTheme="minorHAnsi" w:hAnsiTheme="minorHAnsi"/>
          <w:sz w:val="22"/>
          <w:szCs w:val="22"/>
        </w:rPr>
      </w:pPr>
      <w:r w:rsidRPr="009369D5">
        <w:rPr>
          <w:rFonts w:asciiTheme="minorHAnsi" w:hAnsiTheme="minorHAnsi"/>
          <w:sz w:val="22"/>
          <w:szCs w:val="22"/>
        </w:rPr>
        <w:t xml:space="preserve">Encouraged GMHC’s contribution to the understanding of the lives and welfare indigent community by devising, introducing, and executing best-in-class special projects and initiatives of organization. </w:t>
      </w:r>
    </w:p>
    <w:p w14:paraId="16901931" w14:textId="6AE167FE" w:rsidR="005E6E46" w:rsidRPr="009369D5" w:rsidRDefault="009369D5" w:rsidP="00C16C5A">
      <w:pPr>
        <w:numPr>
          <w:ilvl w:val="0"/>
          <w:numId w:val="5"/>
        </w:numPr>
        <w:tabs>
          <w:tab w:val="clear" w:pos="533"/>
          <w:tab w:val="num" w:pos="900"/>
        </w:tabs>
        <w:spacing w:before="80"/>
        <w:ind w:left="900" w:hanging="270"/>
        <w:jc w:val="both"/>
        <w:rPr>
          <w:rFonts w:asciiTheme="minorHAnsi" w:hAnsiTheme="minorHAnsi"/>
          <w:sz w:val="22"/>
          <w:szCs w:val="22"/>
        </w:rPr>
      </w:pPr>
      <w:r w:rsidRPr="009369D5">
        <w:rPr>
          <w:rFonts w:asciiTheme="minorHAnsi" w:hAnsiTheme="minorHAnsi"/>
          <w:sz w:val="22"/>
          <w:szCs w:val="22"/>
        </w:rPr>
        <w:t>Flourished and improved understanding of anti-poverty laws and legislation, including EITC, SNAP, TANF, Raise the Wage Act, Equal Pay Act, Working Families Tax Relief Act, and Community Services Block Grant Ac</w:t>
      </w:r>
      <w:r w:rsidR="005E6E46" w:rsidRPr="009369D5">
        <w:rPr>
          <w:rFonts w:asciiTheme="minorHAnsi" w:hAnsiTheme="minorHAnsi"/>
          <w:sz w:val="22"/>
          <w:szCs w:val="22"/>
        </w:rPr>
        <w:t>.</w:t>
      </w:r>
    </w:p>
    <w:p w14:paraId="46EE86C7" w14:textId="77777777" w:rsidR="00A40EAE" w:rsidRDefault="00A40EAE" w:rsidP="00B8270A">
      <w:pPr>
        <w:pBdr>
          <w:bottom w:val="single" w:sz="8" w:space="3" w:color="auto"/>
        </w:pBdr>
        <w:tabs>
          <w:tab w:val="right" w:pos="9648"/>
        </w:tabs>
        <w:rPr>
          <w:rFonts w:asciiTheme="majorHAnsi" w:hAnsiTheme="majorHAnsi"/>
          <w:b/>
          <w:sz w:val="30"/>
          <w:szCs w:val="30"/>
        </w:rPr>
      </w:pPr>
    </w:p>
    <w:p w14:paraId="3610AFFB" w14:textId="77777777" w:rsidR="008E45E9" w:rsidRPr="001B73BD" w:rsidRDefault="008E45E9" w:rsidP="00B8270A">
      <w:pPr>
        <w:pBdr>
          <w:bottom w:val="single" w:sz="8" w:space="3" w:color="auto"/>
        </w:pBdr>
        <w:tabs>
          <w:tab w:val="right" w:pos="9648"/>
        </w:tabs>
        <w:rPr>
          <w:rFonts w:asciiTheme="majorHAnsi" w:hAnsiTheme="majorHAnsi"/>
          <w:b/>
          <w:sz w:val="30"/>
          <w:szCs w:val="30"/>
        </w:rPr>
      </w:pPr>
      <w:r w:rsidRPr="001B73BD">
        <w:rPr>
          <w:rFonts w:asciiTheme="majorHAnsi" w:hAnsiTheme="majorHAnsi"/>
          <w:b/>
          <w:sz w:val="30"/>
          <w:szCs w:val="30"/>
        </w:rPr>
        <w:t>Education</w:t>
      </w:r>
      <w:r w:rsidR="00251431" w:rsidRPr="001B73BD">
        <w:rPr>
          <w:rFonts w:asciiTheme="majorHAnsi" w:hAnsiTheme="majorHAnsi"/>
          <w:b/>
          <w:sz w:val="30"/>
          <w:szCs w:val="30"/>
        </w:rPr>
        <w:t xml:space="preserve"> &amp;</w:t>
      </w:r>
      <w:r w:rsidR="00C91289" w:rsidRPr="001B73BD">
        <w:rPr>
          <w:rFonts w:asciiTheme="majorHAnsi" w:hAnsiTheme="majorHAnsi"/>
          <w:b/>
          <w:sz w:val="30"/>
          <w:szCs w:val="30"/>
        </w:rPr>
        <w:t xml:space="preserve"> </w:t>
      </w:r>
      <w:r w:rsidR="00290306" w:rsidRPr="001B73BD">
        <w:rPr>
          <w:rFonts w:asciiTheme="majorHAnsi" w:hAnsiTheme="majorHAnsi"/>
          <w:b/>
          <w:sz w:val="30"/>
          <w:szCs w:val="30"/>
        </w:rPr>
        <w:t>Credentials</w:t>
      </w:r>
    </w:p>
    <w:p w14:paraId="124F5E58" w14:textId="7CBC14E5" w:rsidR="00C16C5A" w:rsidRPr="00C16C5A" w:rsidRDefault="00C16C5A" w:rsidP="00A40EAE">
      <w:pPr>
        <w:spacing w:before="200"/>
        <w:rPr>
          <w:rFonts w:asciiTheme="minorHAnsi" w:hAnsiTheme="minorHAnsi"/>
          <w:sz w:val="22"/>
          <w:szCs w:val="22"/>
        </w:rPr>
      </w:pPr>
      <w:r w:rsidRPr="00C16C5A">
        <w:rPr>
          <w:rFonts w:asciiTheme="minorHAnsi" w:hAnsiTheme="minorHAnsi"/>
          <w:sz w:val="22"/>
          <w:szCs w:val="22"/>
          <w:u w:val="single"/>
        </w:rPr>
        <w:t>Master of Public Health</w:t>
      </w:r>
      <w:r w:rsidR="001444D0" w:rsidRPr="001B73BD">
        <w:rPr>
          <w:rFonts w:asciiTheme="minorHAnsi" w:hAnsiTheme="minorHAnsi"/>
          <w:sz w:val="22"/>
          <w:szCs w:val="22"/>
        </w:rPr>
        <w:t xml:space="preserve"> </w:t>
      </w:r>
      <w:r w:rsidR="00A40EAE" w:rsidRPr="00A40EAE">
        <w:rPr>
          <w:rFonts w:asciiTheme="minorHAnsi" w:hAnsiTheme="minorHAnsi"/>
          <w:sz w:val="22"/>
          <w:szCs w:val="22"/>
        </w:rPr>
        <w:t xml:space="preserve">University of </w:t>
      </w:r>
      <w:r w:rsidR="00E92070">
        <w:rPr>
          <w:rFonts w:asciiTheme="minorHAnsi" w:hAnsiTheme="minorHAnsi"/>
          <w:sz w:val="22"/>
          <w:szCs w:val="22"/>
        </w:rPr>
        <w:t>College</w:t>
      </w:r>
      <w:r w:rsidR="00C91289" w:rsidRPr="001B73BD">
        <w:rPr>
          <w:rFonts w:asciiTheme="minorHAnsi" w:hAnsiTheme="minorHAnsi"/>
          <w:i/>
          <w:sz w:val="22"/>
          <w:szCs w:val="22"/>
        </w:rPr>
        <w:t xml:space="preserve">, </w:t>
      </w:r>
      <w:r w:rsidR="00E92070" w:rsidRPr="00A40EAE">
        <w:rPr>
          <w:rFonts w:asciiTheme="minorHAnsi" w:hAnsiTheme="minorHAnsi"/>
          <w:sz w:val="22"/>
          <w:szCs w:val="22"/>
        </w:rPr>
        <w:t>San Jose, CA</w:t>
      </w:r>
    </w:p>
    <w:p w14:paraId="1A706397" w14:textId="1C9E227C" w:rsidR="008119D2" w:rsidRPr="00C16C5A" w:rsidRDefault="00C16C5A" w:rsidP="00A40EAE">
      <w:pPr>
        <w:spacing w:before="200"/>
        <w:rPr>
          <w:rFonts w:asciiTheme="minorHAnsi" w:hAnsiTheme="minorHAnsi"/>
          <w:sz w:val="22"/>
          <w:szCs w:val="22"/>
        </w:rPr>
      </w:pPr>
      <w:r w:rsidRPr="00C16C5A">
        <w:rPr>
          <w:rFonts w:asciiTheme="minorHAnsi" w:hAnsiTheme="minorHAnsi"/>
          <w:sz w:val="22"/>
          <w:szCs w:val="22"/>
          <w:u w:val="single"/>
        </w:rPr>
        <w:t>Bachelor of Science in Health Science</w:t>
      </w:r>
      <w:r w:rsidRPr="001B73BD">
        <w:rPr>
          <w:rFonts w:asciiTheme="minorHAnsi" w:hAnsiTheme="minorHAnsi"/>
          <w:sz w:val="22"/>
          <w:szCs w:val="22"/>
        </w:rPr>
        <w:t xml:space="preserve"> </w:t>
      </w:r>
      <w:r w:rsidR="00A40EAE" w:rsidRPr="00A40EAE">
        <w:rPr>
          <w:rFonts w:asciiTheme="minorHAnsi" w:hAnsiTheme="minorHAnsi"/>
          <w:sz w:val="22"/>
          <w:szCs w:val="22"/>
        </w:rPr>
        <w:t xml:space="preserve">University of </w:t>
      </w:r>
      <w:r w:rsidR="00E92070">
        <w:rPr>
          <w:rFonts w:asciiTheme="minorHAnsi" w:hAnsiTheme="minorHAnsi"/>
          <w:sz w:val="22"/>
          <w:szCs w:val="22"/>
        </w:rPr>
        <w:t>Education</w:t>
      </w:r>
      <w:r w:rsidRPr="001B73BD">
        <w:rPr>
          <w:rFonts w:asciiTheme="minorHAnsi" w:hAnsiTheme="minorHAnsi"/>
          <w:i/>
          <w:sz w:val="22"/>
          <w:szCs w:val="22"/>
        </w:rPr>
        <w:t xml:space="preserve">, </w:t>
      </w:r>
      <w:r w:rsidR="00E92070" w:rsidRPr="00A40EAE">
        <w:rPr>
          <w:rFonts w:asciiTheme="minorHAnsi" w:hAnsiTheme="minorHAnsi"/>
          <w:sz w:val="22"/>
          <w:szCs w:val="22"/>
        </w:rPr>
        <w:t>San Jose, CA</w:t>
      </w:r>
    </w:p>
    <w:sectPr w:rsidR="008119D2" w:rsidRPr="00C16C5A" w:rsidSect="00C16C5A">
      <w:headerReference w:type="even" r:id="rId8"/>
      <w:footerReference w:type="first" r:id="rId9"/>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4E66D" w14:textId="77777777" w:rsidR="00945359" w:rsidRDefault="00945359">
      <w:r>
        <w:separator/>
      </w:r>
    </w:p>
  </w:endnote>
  <w:endnote w:type="continuationSeparator" w:id="0">
    <w:p w14:paraId="5C624974" w14:textId="77777777" w:rsidR="00945359" w:rsidRDefault="009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5F87" w14:textId="77777777" w:rsidR="00DD4F02" w:rsidRPr="001C017D" w:rsidRDefault="00DD4F02" w:rsidP="00DD4F02">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147D" w14:textId="77777777" w:rsidR="00945359" w:rsidRDefault="00945359">
      <w:r>
        <w:separator/>
      </w:r>
    </w:p>
  </w:footnote>
  <w:footnote w:type="continuationSeparator" w:id="0">
    <w:p w14:paraId="4B5B75E7" w14:textId="77777777" w:rsidR="00945359" w:rsidRDefault="00945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F0B1B" w14:textId="2C2B8FC2" w:rsidR="008119D2" w:rsidRPr="008119D2" w:rsidRDefault="0026204E" w:rsidP="0026204E">
    <w:pPr>
      <w:pBdr>
        <w:bottom w:val="single" w:sz="24" w:space="8" w:color="auto"/>
      </w:pBdr>
      <w:tabs>
        <w:tab w:val="right" w:pos="9900"/>
      </w:tabs>
      <w:spacing w:after="120"/>
    </w:pPr>
    <w:r>
      <w:rPr>
        <w:rFonts w:asciiTheme="majorHAnsi" w:hAnsiTheme="majorHAnsi"/>
        <w:b/>
        <w:sz w:val="28"/>
        <w:szCs w:val="28"/>
      </w:rPr>
      <w:t>Mark</w:t>
    </w:r>
    <w:r w:rsidR="00F30911" w:rsidRPr="00F30911">
      <w:rPr>
        <w:rFonts w:asciiTheme="majorHAnsi" w:hAnsiTheme="majorHAnsi"/>
        <w:b/>
        <w:sz w:val="28"/>
        <w:szCs w:val="28"/>
      </w:rPr>
      <w:t xml:space="preserve"> Miller</w:t>
    </w:r>
    <w:r w:rsidR="00DD4F02" w:rsidRPr="00DB5011">
      <w:rPr>
        <w:rFonts w:ascii="Book Antiqua" w:hAnsi="Book Antiqua"/>
        <w:b/>
        <w:smallCaps/>
        <w:sz w:val="28"/>
        <w:szCs w:val="28"/>
      </w:rPr>
      <w:tab/>
    </w:r>
    <w:r>
      <w:rPr>
        <w:rFonts w:ascii="Book Antiqua" w:hAnsi="Book Antiqua"/>
        <w:b/>
        <w:smallCaps/>
        <w:sz w:val="28"/>
        <w:szCs w:val="28"/>
      </w:rPr>
      <w:t xml:space="preserve">   </w:t>
    </w:r>
    <w:r>
      <w:rPr>
        <w:rFonts w:ascii="Book Antiqua" w:hAnsi="Book Antiqua"/>
        <w:b/>
        <w:smallCaps/>
        <w:sz w:val="28"/>
        <w:szCs w:val="28"/>
      </w:rPr>
      <w:tab/>
    </w:r>
    <w:r w:rsidR="00DD4F02" w:rsidRPr="001C017D">
      <w:rPr>
        <w:rFonts w:asciiTheme="minorHAnsi" w:hAnsiTheme="minorHAnsi"/>
        <w:sz w:val="21"/>
        <w:szCs w:val="21"/>
      </w:rPr>
      <w:t xml:space="preserve">Page </w:t>
    </w:r>
    <w:r w:rsidR="00DD4F02"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DD4F02" w:rsidRPr="001C017D">
      <w:rPr>
        <w:rFonts w:asciiTheme="minorHAnsi" w:hAnsiTheme="minorHAnsi"/>
        <w:sz w:val="21"/>
        <w:szCs w:val="21"/>
      </w:rPr>
      <w:fldChar w:fldCharType="separate"/>
    </w:r>
    <w:r w:rsidR="00A40EAE">
      <w:rPr>
        <w:rFonts w:asciiTheme="minorHAnsi" w:hAnsiTheme="minorHAnsi"/>
        <w:noProof/>
        <w:sz w:val="21"/>
        <w:szCs w:val="21"/>
      </w:rPr>
      <w:t>2</w:t>
    </w:r>
    <w:r w:rsidR="00DD4F02"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5" w15:restartNumberingAfterBreak="0">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300C1A"/>
    <w:multiLevelType w:val="hybridMultilevel"/>
    <w:tmpl w:val="FDFAF4AC"/>
    <w:lvl w:ilvl="0" w:tplc="2982D8BC">
      <w:start w:val="1"/>
      <w:numFmt w:val="bullet"/>
      <w:lvlText w:val=""/>
      <w:lvlJc w:val="left"/>
      <w:pPr>
        <w:ind w:left="720" w:hanging="360"/>
      </w:pPr>
      <w:rPr>
        <w:rFonts w:ascii="Symbol" w:hAnsi="Symbol" w:hint="default"/>
        <w:color w:val="auto"/>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484061">
    <w:abstractNumId w:val="10"/>
  </w:num>
  <w:num w:numId="2" w16cid:durableId="714158882">
    <w:abstractNumId w:val="1"/>
  </w:num>
  <w:num w:numId="3" w16cid:durableId="1485582311">
    <w:abstractNumId w:val="3"/>
  </w:num>
  <w:num w:numId="4" w16cid:durableId="1159686596">
    <w:abstractNumId w:val="9"/>
  </w:num>
  <w:num w:numId="5" w16cid:durableId="952326236">
    <w:abstractNumId w:val="14"/>
  </w:num>
  <w:num w:numId="6" w16cid:durableId="750584693">
    <w:abstractNumId w:val="5"/>
  </w:num>
  <w:num w:numId="7" w16cid:durableId="371805989">
    <w:abstractNumId w:val="7"/>
  </w:num>
  <w:num w:numId="8" w16cid:durableId="1434978359">
    <w:abstractNumId w:val="12"/>
  </w:num>
  <w:num w:numId="9" w16cid:durableId="203836554">
    <w:abstractNumId w:val="11"/>
  </w:num>
  <w:num w:numId="10" w16cid:durableId="1824197453">
    <w:abstractNumId w:val="13"/>
  </w:num>
  <w:num w:numId="11" w16cid:durableId="1207136477">
    <w:abstractNumId w:val="16"/>
  </w:num>
  <w:num w:numId="12" w16cid:durableId="142938949">
    <w:abstractNumId w:val="6"/>
  </w:num>
  <w:num w:numId="13" w16cid:durableId="2014794141">
    <w:abstractNumId w:val="2"/>
  </w:num>
  <w:num w:numId="14" w16cid:durableId="1364671624">
    <w:abstractNumId w:val="0"/>
  </w:num>
  <w:num w:numId="15" w16cid:durableId="1973247685">
    <w:abstractNumId w:val="15"/>
  </w:num>
  <w:num w:numId="16" w16cid:durableId="2039699242">
    <w:abstractNumId w:val="4"/>
  </w:num>
  <w:num w:numId="17" w16cid:durableId="1039473959">
    <w:abstractNumId w:val="8"/>
  </w:num>
  <w:num w:numId="18" w16cid:durableId="1088429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59AC"/>
    <w:rsid w:val="000074C7"/>
    <w:rsid w:val="00015428"/>
    <w:rsid w:val="00025C4B"/>
    <w:rsid w:val="00035CE1"/>
    <w:rsid w:val="00070F01"/>
    <w:rsid w:val="00086AA5"/>
    <w:rsid w:val="00097D6D"/>
    <w:rsid w:val="000D1C21"/>
    <w:rsid w:val="000E0007"/>
    <w:rsid w:val="000E7824"/>
    <w:rsid w:val="000E79E6"/>
    <w:rsid w:val="00123CF6"/>
    <w:rsid w:val="00144479"/>
    <w:rsid w:val="001444D0"/>
    <w:rsid w:val="00151050"/>
    <w:rsid w:val="00151ADB"/>
    <w:rsid w:val="00157A2A"/>
    <w:rsid w:val="00190BAD"/>
    <w:rsid w:val="001A045A"/>
    <w:rsid w:val="001B73BD"/>
    <w:rsid w:val="001C017D"/>
    <w:rsid w:val="002131FD"/>
    <w:rsid w:val="00226787"/>
    <w:rsid w:val="00232C23"/>
    <w:rsid w:val="00237090"/>
    <w:rsid w:val="00241C2E"/>
    <w:rsid w:val="00251431"/>
    <w:rsid w:val="0025168E"/>
    <w:rsid w:val="0026204E"/>
    <w:rsid w:val="00290306"/>
    <w:rsid w:val="002918B1"/>
    <w:rsid w:val="002A3562"/>
    <w:rsid w:val="002A43FC"/>
    <w:rsid w:val="002A686D"/>
    <w:rsid w:val="002C03E4"/>
    <w:rsid w:val="002C09CD"/>
    <w:rsid w:val="002D2C08"/>
    <w:rsid w:val="002D3A9B"/>
    <w:rsid w:val="002E7804"/>
    <w:rsid w:val="002F1D70"/>
    <w:rsid w:val="00301BE5"/>
    <w:rsid w:val="00305CD5"/>
    <w:rsid w:val="00317128"/>
    <w:rsid w:val="003450A5"/>
    <w:rsid w:val="00347410"/>
    <w:rsid w:val="00364498"/>
    <w:rsid w:val="0037015D"/>
    <w:rsid w:val="00380AE4"/>
    <w:rsid w:val="003B1927"/>
    <w:rsid w:val="003B1A0E"/>
    <w:rsid w:val="003C3461"/>
    <w:rsid w:val="003C3790"/>
    <w:rsid w:val="00400015"/>
    <w:rsid w:val="0041059F"/>
    <w:rsid w:val="00426E28"/>
    <w:rsid w:val="0044645E"/>
    <w:rsid w:val="00447137"/>
    <w:rsid w:val="004607B3"/>
    <w:rsid w:val="00462BFB"/>
    <w:rsid w:val="00467D4F"/>
    <w:rsid w:val="00486110"/>
    <w:rsid w:val="00491122"/>
    <w:rsid w:val="004A3DE4"/>
    <w:rsid w:val="004A3E69"/>
    <w:rsid w:val="004A4F82"/>
    <w:rsid w:val="004B69E0"/>
    <w:rsid w:val="004C1FFE"/>
    <w:rsid w:val="004C3D11"/>
    <w:rsid w:val="004D331A"/>
    <w:rsid w:val="004D58BB"/>
    <w:rsid w:val="004E3A84"/>
    <w:rsid w:val="0050629C"/>
    <w:rsid w:val="00511E6B"/>
    <w:rsid w:val="00540FCA"/>
    <w:rsid w:val="0055310A"/>
    <w:rsid w:val="00557107"/>
    <w:rsid w:val="00557598"/>
    <w:rsid w:val="00581110"/>
    <w:rsid w:val="005A1934"/>
    <w:rsid w:val="005E34C1"/>
    <w:rsid w:val="005E5254"/>
    <w:rsid w:val="005E6E46"/>
    <w:rsid w:val="005F57FC"/>
    <w:rsid w:val="00633151"/>
    <w:rsid w:val="00633DE9"/>
    <w:rsid w:val="00636F90"/>
    <w:rsid w:val="00657D69"/>
    <w:rsid w:val="00672D9F"/>
    <w:rsid w:val="00683AAC"/>
    <w:rsid w:val="006B0E32"/>
    <w:rsid w:val="006C1BC3"/>
    <w:rsid w:val="006C395B"/>
    <w:rsid w:val="006E41EF"/>
    <w:rsid w:val="00723A11"/>
    <w:rsid w:val="007667C5"/>
    <w:rsid w:val="00772848"/>
    <w:rsid w:val="00784E80"/>
    <w:rsid w:val="0079079E"/>
    <w:rsid w:val="007A2CF3"/>
    <w:rsid w:val="007A6A59"/>
    <w:rsid w:val="007C55EA"/>
    <w:rsid w:val="007D1B98"/>
    <w:rsid w:val="007E77F5"/>
    <w:rsid w:val="007F4DEF"/>
    <w:rsid w:val="008036AF"/>
    <w:rsid w:val="008119D2"/>
    <w:rsid w:val="00836242"/>
    <w:rsid w:val="00837E15"/>
    <w:rsid w:val="00870C91"/>
    <w:rsid w:val="00890FFF"/>
    <w:rsid w:val="008A7AB5"/>
    <w:rsid w:val="008B4D8C"/>
    <w:rsid w:val="008E45E9"/>
    <w:rsid w:val="00914CD7"/>
    <w:rsid w:val="00926A95"/>
    <w:rsid w:val="009271E3"/>
    <w:rsid w:val="009369D5"/>
    <w:rsid w:val="00940FD2"/>
    <w:rsid w:val="00945359"/>
    <w:rsid w:val="00946A35"/>
    <w:rsid w:val="00972D7E"/>
    <w:rsid w:val="0097671C"/>
    <w:rsid w:val="00982B53"/>
    <w:rsid w:val="009A0202"/>
    <w:rsid w:val="009C09A4"/>
    <w:rsid w:val="009E0055"/>
    <w:rsid w:val="00A061EE"/>
    <w:rsid w:val="00A124E2"/>
    <w:rsid w:val="00A163CF"/>
    <w:rsid w:val="00A1645B"/>
    <w:rsid w:val="00A16F98"/>
    <w:rsid w:val="00A213AE"/>
    <w:rsid w:val="00A40EAE"/>
    <w:rsid w:val="00A53944"/>
    <w:rsid w:val="00A716F8"/>
    <w:rsid w:val="00A8095C"/>
    <w:rsid w:val="00AC2203"/>
    <w:rsid w:val="00B0432E"/>
    <w:rsid w:val="00B165F7"/>
    <w:rsid w:val="00B200DC"/>
    <w:rsid w:val="00B30F88"/>
    <w:rsid w:val="00B33C1C"/>
    <w:rsid w:val="00B61387"/>
    <w:rsid w:val="00B8270A"/>
    <w:rsid w:val="00B84CE5"/>
    <w:rsid w:val="00B858B8"/>
    <w:rsid w:val="00BA1774"/>
    <w:rsid w:val="00BA6551"/>
    <w:rsid w:val="00BC0188"/>
    <w:rsid w:val="00BD245B"/>
    <w:rsid w:val="00BE031A"/>
    <w:rsid w:val="00C15A58"/>
    <w:rsid w:val="00C16C5A"/>
    <w:rsid w:val="00C40424"/>
    <w:rsid w:val="00C40574"/>
    <w:rsid w:val="00C512E1"/>
    <w:rsid w:val="00C65FE9"/>
    <w:rsid w:val="00C91289"/>
    <w:rsid w:val="00C970D2"/>
    <w:rsid w:val="00CA3637"/>
    <w:rsid w:val="00CA4625"/>
    <w:rsid w:val="00CB617F"/>
    <w:rsid w:val="00CB6280"/>
    <w:rsid w:val="00CC2CE0"/>
    <w:rsid w:val="00CC7B64"/>
    <w:rsid w:val="00CD13E3"/>
    <w:rsid w:val="00D33AD4"/>
    <w:rsid w:val="00D352DA"/>
    <w:rsid w:val="00D431C3"/>
    <w:rsid w:val="00D56F43"/>
    <w:rsid w:val="00D61ECB"/>
    <w:rsid w:val="00D94574"/>
    <w:rsid w:val="00DA159F"/>
    <w:rsid w:val="00DB5011"/>
    <w:rsid w:val="00DD4F02"/>
    <w:rsid w:val="00DD6DAF"/>
    <w:rsid w:val="00DE6281"/>
    <w:rsid w:val="00DE7792"/>
    <w:rsid w:val="00DF74EC"/>
    <w:rsid w:val="00E37B1B"/>
    <w:rsid w:val="00E64336"/>
    <w:rsid w:val="00E6495B"/>
    <w:rsid w:val="00E92070"/>
    <w:rsid w:val="00E96CB4"/>
    <w:rsid w:val="00ED25CC"/>
    <w:rsid w:val="00ED5445"/>
    <w:rsid w:val="00EF25FE"/>
    <w:rsid w:val="00F125D8"/>
    <w:rsid w:val="00F14C0F"/>
    <w:rsid w:val="00F20DE9"/>
    <w:rsid w:val="00F30911"/>
    <w:rsid w:val="00F5561D"/>
    <w:rsid w:val="00F64DD0"/>
    <w:rsid w:val="00F82E02"/>
    <w:rsid w:val="00FC0E46"/>
    <w:rsid w:val="00FF48B5"/>
    <w:rsid w:val="00FF66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C8D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467D4F"/>
    <w:pPr>
      <w:ind w:left="720"/>
      <w:contextualSpacing/>
    </w:pPr>
  </w:style>
  <w:style w:type="character" w:styleId="UnresolvedMention">
    <w:name w:val="Unresolved Mention"/>
    <w:basedOn w:val="DefaultParagraphFont"/>
    <w:uiPriority w:val="99"/>
    <w:semiHidden/>
    <w:unhideWhenUsed/>
    <w:rsid w:val="00262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B85F-DB89-4B64-910C-E79E6864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5772</Characters>
  <Application>Microsoft Office Word</Application>
  <DocSecurity>0</DocSecurity>
  <Lines>104</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Administrator Resume Example</dc:title>
  <dc:creator/>
  <cp:keywords>resume example, healthcare, administrator</cp:keywords>
  <cp:lastModifiedBy/>
  <cp:revision>1</cp:revision>
  <dcterms:created xsi:type="dcterms:W3CDTF">2023-04-14T17:28:00Z</dcterms:created>
  <dcterms:modified xsi:type="dcterms:W3CDTF">2023-04-25T10:43:00Z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prfo8ex-v1</vt:lpwstr>
  </property>
</Properties>
</file>