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LegalEaseAI</w:t>
      </w:r>
    </w:p>
    <w:p>
      <w:pPr>
        <w:jc w:val="center"/>
      </w:pPr>
      <w:r>
        <w:rPr>
          <w:b/>
          <w:sz w:val="32"/>
        </w:rPr>
        <w:t>Phase 5 — Project Development</w:t>
      </w:r>
    </w:p>
    <w:p>
      <w:pPr>
        <w:jc w:val="center"/>
      </w:pPr>
      <w:r>
        <w:rPr>
          <w:i/>
          <w:color w:val="5A5A5A"/>
          <w:sz w:val="20"/>
        </w:rPr>
        <w:t>Implemented modules, workflow, configuration, and current scope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Project Information</w:t>
            </w:r>
          </w:p>
        </w:tc>
        <w:tc>
          <w:tcPr>
            <w:tcW w:type="dxa" w:w="6912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Project Title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LegalEaseAI — AI-Powered Legal Document Generator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SWTID-2026-7680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Team Size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Team Leader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Vigneshan P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Team Members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Udhaya kumar R; Vimal 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Prepared Date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28/09/2026</w:t>
            </w:r>
          </w:p>
        </w:tc>
      </w:tr>
    </w:tbl>
    <w:p/>
    <w:p>
      <w:pPr>
        <w:pStyle w:val="Heading1"/>
      </w:pPr>
      <w:r>
        <w:t>Implementation Summary</w:t>
      </w:r>
    </w:p>
    <w:p>
      <w:r>
        <w:t>LegalEaseAI is implemented as a Streamlit frontend and FastAPI backend. The application accepts structured document details, invokes Google Gemini through a dedicated generator class, renders the draft in an editable text area, and exports the edited result as TXT, DOCX, or PDF.</w:t>
      </w:r>
    </w:p>
    <w:p>
      <w:pPr>
        <w:pStyle w:val="Heading1"/>
      </w:pPr>
      <w:r>
        <w:t>Frontend Workflow</w:t>
      </w:r>
    </w:p>
    <w:p>
      <w:r>
        <w:t>The Streamlit page configures a wide layout, displays the LegalEase title and legal disclaimer, collects document details in a sidebar, sends a JSON request to the backend, stores the response in session state, escapes the document for safe HTML preview, and exposes download buttons.</w:t>
      </w:r>
    </w:p>
    <w:p>
      <w:pPr>
        <w:pStyle w:val="Heading1"/>
      </w:pPr>
      <w:r>
        <w:t>Backend Workflow</w:t>
      </w:r>
    </w:p>
    <w:p>
      <w:r>
        <w:t>The FastAPI application defines the API metadata, enables CORS middleware, includes the router, and exposes root and health endpoints. The /generate route accepts DocumentRequest with bounded fields and returns a JSON object containing document text.</w:t>
      </w:r>
    </w:p>
    <w:p>
      <w:pPr>
        <w:pStyle w:val="Heading1"/>
      </w:pPr>
      <w:r>
        <w:t>AI Generation Behaviour</w:t>
      </w:r>
    </w:p>
    <w:p>
      <w:r>
        <w:t>GeminiDocumentGenerator loads GEMINI_API_KEY and GEMINI_MODEL from environment variables. It creates a focused prompt instructing Gemini to produce a first draft, use only supplied facts, mark missing information as [TO BE COMPLETED], avoid legal advice, avoid claims of legal validity, and return plain text. Temporary 503, unavailable, 429, and resource-exhausted errors are retried up to four attempts.</w:t>
      </w:r>
    </w:p>
    <w:p>
      <w:pPr>
        <w:pStyle w:val="Heading1"/>
      </w:pPr>
      <w:r>
        <w:t>Document Formatting</w:t>
      </w:r>
    </w:p>
    <w:p>
      <w:r>
        <w:t>The formatter sanitizes common Unicode punctuation, identifies numbered sections and bullets, applies Times New Roman styling in DOCX, and produces a PDF with a title, sections, bullets, margins, optional logo, and a professional-review footer.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5040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app.py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Streamlit frontend and download experience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main.py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FastAPI application, middleware, root and health routes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routes.py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DocumentRequest schema and POST /generate route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ai_core/gemini_generator.py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Gemini client, prompt, retry logic, and output handling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utils/document_formatter.py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DOCX/PDF formatting and text sanitation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requirements.txt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FastAPI, Streamlit, Gemini, document, PDF, and utility dependencies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Configuration</w:t>
            </w:r>
          </w:p>
        </w:tc>
        <w:tc>
          <w:tcPr>
            <w:tcW w:type="dxa" w:w="5040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GEMINI_API_KEY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Secret key for Gemini; must remain outside source control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GEMINI_MODEL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Configurable Gemini model name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BACKEND_URL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Streamlit target URL for FastAPI; defaults to localhost:8000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46464"/>
        <w:sz w:val="16"/>
      </w:rPr>
      <w:t>LegalEaseAI | AI-assisted legal drafting prototype | Review with a qualified legal professional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