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LegalEaseAI</w:t>
      </w:r>
    </w:p>
    <w:p>
      <w:pPr>
        <w:jc w:val="center"/>
      </w:pPr>
      <w:r>
        <w:rPr>
          <w:b/>
          <w:sz w:val="32"/>
        </w:rPr>
        <w:t>Phase 6 — Project Testing</w:t>
      </w:r>
    </w:p>
    <w:p>
      <w:pPr>
        <w:jc w:val="center"/>
      </w:pPr>
      <w:r>
        <w:rPr>
          <w:i/>
          <w:color w:val="5A5A5A"/>
          <w:sz w:val="20"/>
        </w:rPr>
        <w:t>Functional, integration, safety, and acceptance testing</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8"/>
          </w:tcPr>
          <w:p>
            <w:r/>
            <w:r>
              <w:rPr>
                <w:b/>
                <w:color w:val="FFFFFF"/>
                <w:sz w:val="19"/>
              </w:rPr>
              <w:t>Project Information</w:t>
            </w:r>
          </w:p>
        </w:tc>
        <w:tc>
          <w:tcPr>
            <w:tcW w:type="dxa" w:w="6912"/>
            <w:vAlign w:val="center"/>
            <w:shd w:fill="1F4E78"/>
          </w:tcPr>
          <w:p>
            <w:r/>
            <w:r>
              <w:rPr>
                <w:b/>
                <w:color w:val="FFFFFF"/>
                <w:sz w:val="19"/>
              </w:rPr>
              <w:t>Details</w:t>
            </w:r>
          </w:p>
        </w:tc>
      </w:tr>
      <w:tr>
        <w:tc>
          <w:tcPr>
            <w:tcW w:type="dxa" w:w="2880"/>
            <w:vAlign w:val="center"/>
          </w:tcPr>
          <w:p>
            <w:r/>
            <w:r>
              <w:rPr>
                <w:b w:val="0"/>
                <w:sz w:val="19"/>
              </w:rPr>
              <w:t>Project Title</w:t>
            </w:r>
          </w:p>
        </w:tc>
        <w:tc>
          <w:tcPr>
            <w:tcW w:type="dxa" w:w="6912"/>
            <w:vAlign w:val="center"/>
          </w:tcPr>
          <w:p>
            <w:r/>
            <w:r>
              <w:rPr>
                <w:b w:val="0"/>
                <w:sz w:val="19"/>
              </w:rPr>
              <w:t>LegalEaseAI — AI-Powered Legal Document Generator</w:t>
            </w:r>
          </w:p>
        </w:tc>
      </w:tr>
      <w:tr>
        <w:tc>
          <w:tcPr>
            <w:tcW w:type="dxa" w:w="2880"/>
            <w:vAlign w:val="center"/>
          </w:tcPr>
          <w:p>
            <w:r/>
            <w:r>
              <w:rPr>
                <w:b w:val="0"/>
                <w:sz w:val="19"/>
              </w:rPr>
              <w:t>Team ID</w:t>
            </w:r>
          </w:p>
        </w:tc>
        <w:tc>
          <w:tcPr>
            <w:tcW w:type="dxa" w:w="6912"/>
            <w:vAlign w:val="center"/>
          </w:tcPr>
          <w:p>
            <w:r/>
            <w:r>
              <w:rPr>
                <w:b w:val="0"/>
                <w:sz w:val="19"/>
              </w:rPr>
              <w:t>SWTID-2026-7680</w:t>
            </w:r>
          </w:p>
        </w:tc>
      </w:tr>
      <w:tr>
        <w:tc>
          <w:tcPr>
            <w:tcW w:type="dxa" w:w="2880"/>
            <w:vAlign w:val="center"/>
          </w:tcPr>
          <w:p>
            <w:r/>
            <w:r>
              <w:rPr>
                <w:b w:val="0"/>
                <w:sz w:val="19"/>
              </w:rPr>
              <w:t>Team Size</w:t>
            </w:r>
          </w:p>
        </w:tc>
        <w:tc>
          <w:tcPr>
            <w:tcW w:type="dxa" w:w="6912"/>
            <w:vAlign w:val="center"/>
          </w:tcPr>
          <w:p>
            <w:r/>
            <w:r>
              <w:rPr>
                <w:b w:val="0"/>
                <w:sz w:val="19"/>
              </w:rPr>
              <w:t>3</w:t>
            </w:r>
          </w:p>
        </w:tc>
      </w:tr>
      <w:tr>
        <w:tc>
          <w:tcPr>
            <w:tcW w:type="dxa" w:w="2880"/>
            <w:vAlign w:val="center"/>
          </w:tcPr>
          <w:p>
            <w:r/>
            <w:r>
              <w:rPr>
                <w:b w:val="0"/>
                <w:sz w:val="19"/>
              </w:rPr>
              <w:t>Team Leader</w:t>
            </w:r>
          </w:p>
        </w:tc>
        <w:tc>
          <w:tcPr>
            <w:tcW w:type="dxa" w:w="6912"/>
            <w:vAlign w:val="center"/>
          </w:tcPr>
          <w:p>
            <w:r/>
            <w:r>
              <w:rPr>
                <w:b w:val="0"/>
                <w:sz w:val="19"/>
              </w:rPr>
              <w:t>Vigneshan P</w:t>
            </w:r>
          </w:p>
        </w:tc>
      </w:tr>
      <w:tr>
        <w:tc>
          <w:tcPr>
            <w:tcW w:type="dxa" w:w="2880"/>
            <w:vAlign w:val="center"/>
          </w:tcPr>
          <w:p>
            <w:r/>
            <w:r>
              <w:rPr>
                <w:b w:val="0"/>
                <w:sz w:val="19"/>
              </w:rPr>
              <w:t>Team Members</w:t>
            </w:r>
          </w:p>
        </w:tc>
        <w:tc>
          <w:tcPr>
            <w:tcW w:type="dxa" w:w="6912"/>
            <w:vAlign w:val="center"/>
          </w:tcPr>
          <w:p>
            <w:r/>
            <w:r>
              <w:rPr>
                <w:b w:val="0"/>
                <w:sz w:val="19"/>
              </w:rPr>
              <w:t>Udhaya kumar R; Vimal S</w:t>
            </w:r>
          </w:p>
        </w:tc>
      </w:tr>
      <w:tr>
        <w:tc>
          <w:tcPr>
            <w:tcW w:type="dxa" w:w="2880"/>
            <w:vAlign w:val="center"/>
          </w:tcPr>
          <w:p>
            <w:r/>
            <w:r>
              <w:rPr>
                <w:b w:val="0"/>
                <w:sz w:val="19"/>
              </w:rPr>
              <w:t>Prepared Date</w:t>
            </w:r>
          </w:p>
        </w:tc>
        <w:tc>
          <w:tcPr>
            <w:tcW w:type="dxa" w:w="6912"/>
            <w:vAlign w:val="center"/>
          </w:tcPr>
          <w:p>
            <w:r/>
            <w:r>
              <w:rPr>
                <w:b w:val="0"/>
                <w:sz w:val="19"/>
              </w:rPr>
              <w:t>28/09/2026</w:t>
            </w:r>
          </w:p>
        </w:tc>
      </w:tr>
    </w:tbl>
    <w:p/>
    <w:p>
      <w:pPr>
        <w:pStyle w:val="Heading1"/>
      </w:pPr>
      <w:r>
        <w:t>Testing Scope</w:t>
      </w:r>
    </w:p>
    <w:p>
      <w:r>
        <w:t>Testing covers API availability, request validation, missing configuration, successful Gemini generation, temporary upstream failures, Streamlit-to-FastAPI communication, editable preview, and all three export formats. Because the supplied source package does not include a dedicated tests directory, the following is the recommended test and UAT plan for the current implementation.</w:t>
      </w:r>
    </w:p>
    <w:p>
      <w:pPr>
        <w:pStyle w:val="Heading1"/>
      </w:pPr>
      <w:r>
        <w:t>Safety and Quality Checks</w:t>
      </w:r>
    </w:p>
    <w:p>
      <w:pPr>
        <w:pStyle w:val="ListBullet"/>
        <w:spacing w:after="40"/>
      </w:pPr>
      <w:r>
        <w:t>Verify that the disclaimer is visible before generation.</w:t>
      </w:r>
    </w:p>
    <w:p>
      <w:pPr>
        <w:pStyle w:val="ListBullet"/>
        <w:spacing w:after="40"/>
      </w:pPr>
      <w:r>
        <w:t>Verify that the prompt does not invite invented names, dates, amounts, laws, courts, or registration numbers.</w:t>
      </w:r>
    </w:p>
    <w:p>
      <w:pPr>
        <w:pStyle w:val="ListBullet"/>
        <w:spacing w:after="40"/>
      </w:pPr>
      <w:r>
        <w:t>Verify that missing data is represented as [TO BE COMPLETED].</w:t>
      </w:r>
    </w:p>
    <w:p>
      <w:pPr>
        <w:pStyle w:val="ListBullet"/>
        <w:spacing w:after="40"/>
      </w:pPr>
      <w:r>
        <w:t>Verify that generated output is described as a first draft and not legal advice.</w:t>
      </w:r>
    </w:p>
    <w:p>
      <w:pPr>
        <w:pStyle w:val="ListBullet"/>
        <w:spacing w:after="40"/>
      </w:pPr>
      <w:r>
        <w:t>Verify that HTML preview uses escaped content.</w:t>
      </w:r>
    </w:p>
    <w:p>
      <w:pPr>
        <w:pStyle w:val="ListBullet"/>
        <w:spacing w:after="40"/>
      </w:pPr>
      <w:r>
        <w:t>Verify that secrets are redacted from logs and excluded by .gitignore.</w:t>
      </w:r>
    </w:p>
    <w:p>
      <w:pPr>
        <w:pStyle w:val="Heading1"/>
      </w:pPr>
      <w:r>
        <w:t>Known Limitations</w:t>
      </w:r>
    </w:p>
    <w:p>
      <w:r>
        <w:t>The current prototype has no authentication, persistent history, rate limiting, document versioning, legal citation verification, jurisdiction selection, formal human review workflow, or automated regression test suite in the supplied archive. These are recommended before production use.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9"/>
              </w:rPr>
              <w:t>ID</w:t>
            </w:r>
          </w:p>
        </w:tc>
        <w:tc>
          <w:tcPr>
            <w:tcW w:type="dxa" w:w="2520"/>
            <w:vAlign w:val="center"/>
            <w:shd w:fill="1F4E78"/>
          </w:tcPr>
          <w:p>
            <w:r/>
            <w:r>
              <w:rPr>
                <w:b/>
                <w:color w:val="FFFFFF"/>
                <w:sz w:val="19"/>
              </w:rPr>
              <w:t>Scenario</w:t>
            </w:r>
          </w:p>
        </w:tc>
        <w:tc>
          <w:tcPr>
            <w:tcW w:type="dxa" w:w="2520"/>
            <w:vAlign w:val="center"/>
            <w:shd w:fill="1F4E78"/>
          </w:tcPr>
          <w:p>
            <w:r/>
            <w:r>
              <w:rPr>
                <w:b/>
                <w:color w:val="FFFFFF"/>
                <w:sz w:val="19"/>
              </w:rPr>
              <w:t>Expected Result</w:t>
            </w:r>
          </w:p>
        </w:tc>
        <w:tc>
          <w:tcPr>
            <w:tcW w:type="dxa" w:w="2520"/>
            <w:vAlign w:val="center"/>
            <w:shd w:fill="1F4E78"/>
          </w:tcPr>
          <w:p>
            <w:r/>
            <w:r>
              <w:rPr>
                <w:b/>
                <w:color w:val="FFFFFF"/>
                <w:sz w:val="19"/>
              </w:rPr>
              <w:t>Status to Record</w:t>
            </w:r>
          </w:p>
        </w:tc>
      </w:tr>
      <w:tr>
        <w:tc>
          <w:tcPr>
            <w:tcW w:type="dxa" w:w="2520"/>
            <w:vAlign w:val="center"/>
          </w:tcPr>
          <w:p>
            <w:r/>
            <w:r>
              <w:rPr>
                <w:b w:val="0"/>
                <w:sz w:val="19"/>
              </w:rPr>
              <w:t>TC-001</w:t>
            </w:r>
          </w:p>
        </w:tc>
        <w:tc>
          <w:tcPr>
            <w:tcW w:type="dxa" w:w="2520"/>
            <w:vAlign w:val="center"/>
          </w:tcPr>
          <w:p>
            <w:r/>
            <w:r>
              <w:rPr>
                <w:b w:val="0"/>
                <w:sz w:val="19"/>
              </w:rPr>
              <w:t>GET /health</w:t>
            </w:r>
          </w:p>
        </w:tc>
        <w:tc>
          <w:tcPr>
            <w:tcW w:type="dxa" w:w="2520"/>
            <w:vAlign w:val="center"/>
          </w:tcPr>
          <w:p>
            <w:r/>
            <w:r>
              <w:rPr>
                <w:b w:val="0"/>
                <w:sz w:val="19"/>
              </w:rPr>
              <w:t>200 response with healthy status</w:t>
            </w:r>
          </w:p>
        </w:tc>
        <w:tc>
          <w:tcPr>
            <w:tcW w:type="dxa" w:w="2520"/>
            <w:vAlign w:val="center"/>
          </w:tcPr>
          <w:p>
            <w:r/>
            <w:r>
              <w:rPr>
                <w:b w:val="0"/>
                <w:sz w:val="19"/>
              </w:rPr>
              <w:t>Execute</w:t>
            </w:r>
          </w:p>
        </w:tc>
      </w:tr>
      <w:tr>
        <w:tc>
          <w:tcPr>
            <w:tcW w:type="dxa" w:w="2520"/>
            <w:vAlign w:val="center"/>
          </w:tcPr>
          <w:p>
            <w:r/>
            <w:r>
              <w:rPr>
                <w:b w:val="0"/>
                <w:sz w:val="19"/>
              </w:rPr>
              <w:t>TC-002</w:t>
            </w:r>
          </w:p>
        </w:tc>
        <w:tc>
          <w:tcPr>
            <w:tcW w:type="dxa" w:w="2520"/>
            <w:vAlign w:val="center"/>
          </w:tcPr>
          <w:p>
            <w:r/>
            <w:r>
              <w:rPr>
                <w:b w:val="0"/>
                <w:sz w:val="19"/>
              </w:rPr>
              <w:t>Valid /generate request</w:t>
            </w:r>
          </w:p>
        </w:tc>
        <w:tc>
          <w:tcPr>
            <w:tcW w:type="dxa" w:w="2520"/>
            <w:vAlign w:val="center"/>
          </w:tcPr>
          <w:p>
            <w:r/>
            <w:r>
              <w:rPr>
                <w:b w:val="0"/>
                <w:sz w:val="19"/>
              </w:rPr>
              <w:t>Non-empty document field returned</w:t>
            </w:r>
          </w:p>
        </w:tc>
        <w:tc>
          <w:tcPr>
            <w:tcW w:type="dxa" w:w="2520"/>
            <w:vAlign w:val="center"/>
          </w:tcPr>
          <w:p>
            <w:r/>
            <w:r>
              <w:rPr>
                <w:b w:val="0"/>
                <w:sz w:val="19"/>
              </w:rPr>
              <w:t>Execute</w:t>
            </w:r>
          </w:p>
        </w:tc>
      </w:tr>
      <w:tr>
        <w:tc>
          <w:tcPr>
            <w:tcW w:type="dxa" w:w="2520"/>
            <w:vAlign w:val="center"/>
          </w:tcPr>
          <w:p>
            <w:r/>
            <w:r>
              <w:rPr>
                <w:b w:val="0"/>
                <w:sz w:val="19"/>
              </w:rPr>
              <w:t>TC-003</w:t>
            </w:r>
          </w:p>
        </w:tc>
        <w:tc>
          <w:tcPr>
            <w:tcW w:type="dxa" w:w="2520"/>
            <w:vAlign w:val="center"/>
          </w:tcPr>
          <w:p>
            <w:r/>
            <w:r>
              <w:rPr>
                <w:b w:val="0"/>
                <w:sz w:val="19"/>
              </w:rPr>
              <w:t>Missing document type</w:t>
            </w:r>
          </w:p>
        </w:tc>
        <w:tc>
          <w:tcPr>
            <w:tcW w:type="dxa" w:w="2520"/>
            <w:vAlign w:val="center"/>
          </w:tcPr>
          <w:p>
            <w:r/>
            <w:r>
              <w:rPr>
                <w:b w:val="0"/>
                <w:sz w:val="19"/>
              </w:rPr>
              <w:t>Validation error, no generation call</w:t>
            </w:r>
          </w:p>
        </w:tc>
        <w:tc>
          <w:tcPr>
            <w:tcW w:type="dxa" w:w="2520"/>
            <w:vAlign w:val="center"/>
          </w:tcPr>
          <w:p>
            <w:r/>
            <w:r>
              <w:rPr>
                <w:b w:val="0"/>
                <w:sz w:val="19"/>
              </w:rPr>
              <w:t>Execute</w:t>
            </w:r>
          </w:p>
        </w:tc>
      </w:tr>
      <w:tr>
        <w:tc>
          <w:tcPr>
            <w:tcW w:type="dxa" w:w="2520"/>
            <w:vAlign w:val="center"/>
          </w:tcPr>
          <w:p>
            <w:r/>
            <w:r>
              <w:rPr>
                <w:b w:val="0"/>
                <w:sz w:val="19"/>
              </w:rPr>
              <w:t>TC-004</w:t>
            </w:r>
          </w:p>
        </w:tc>
        <w:tc>
          <w:tcPr>
            <w:tcW w:type="dxa" w:w="2520"/>
            <w:vAlign w:val="center"/>
          </w:tcPr>
          <w:p>
            <w:r/>
            <w:r>
              <w:rPr>
                <w:b w:val="0"/>
                <w:sz w:val="19"/>
              </w:rPr>
              <w:t>Oversized parties or terms</w:t>
            </w:r>
          </w:p>
        </w:tc>
        <w:tc>
          <w:tcPr>
            <w:tcW w:type="dxa" w:w="2520"/>
            <w:vAlign w:val="center"/>
          </w:tcPr>
          <w:p>
            <w:r/>
            <w:r>
              <w:rPr>
                <w:b w:val="0"/>
                <w:sz w:val="19"/>
              </w:rPr>
              <w:t>Pydantic validation error</w:t>
            </w:r>
          </w:p>
        </w:tc>
        <w:tc>
          <w:tcPr>
            <w:tcW w:type="dxa" w:w="2520"/>
            <w:vAlign w:val="center"/>
          </w:tcPr>
          <w:p>
            <w:r/>
            <w:r>
              <w:rPr>
                <w:b w:val="0"/>
                <w:sz w:val="19"/>
              </w:rPr>
              <w:t>Execute</w:t>
            </w:r>
          </w:p>
        </w:tc>
      </w:tr>
      <w:tr>
        <w:tc>
          <w:tcPr>
            <w:tcW w:type="dxa" w:w="2520"/>
            <w:vAlign w:val="center"/>
          </w:tcPr>
          <w:p>
            <w:r/>
            <w:r>
              <w:rPr>
                <w:b w:val="0"/>
                <w:sz w:val="19"/>
              </w:rPr>
              <w:t>TC-005</w:t>
            </w:r>
          </w:p>
        </w:tc>
        <w:tc>
          <w:tcPr>
            <w:tcW w:type="dxa" w:w="2520"/>
            <w:vAlign w:val="center"/>
          </w:tcPr>
          <w:p>
            <w:r/>
            <w:r>
              <w:rPr>
                <w:b w:val="0"/>
                <w:sz w:val="19"/>
              </w:rPr>
              <w:t>Missing GEMINI_API_KEY</w:t>
            </w:r>
          </w:p>
        </w:tc>
        <w:tc>
          <w:tcPr>
            <w:tcW w:type="dxa" w:w="2520"/>
            <w:vAlign w:val="center"/>
          </w:tcPr>
          <w:p>
            <w:r/>
            <w:r>
              <w:rPr>
                <w:b w:val="0"/>
                <w:sz w:val="19"/>
              </w:rPr>
              <w:t>Clear configuration error</w:t>
            </w:r>
          </w:p>
        </w:tc>
        <w:tc>
          <w:tcPr>
            <w:tcW w:type="dxa" w:w="2520"/>
            <w:vAlign w:val="center"/>
          </w:tcPr>
          <w:p>
            <w:r/>
            <w:r>
              <w:rPr>
                <w:b w:val="0"/>
                <w:sz w:val="19"/>
              </w:rPr>
              <w:t>Execute</w:t>
            </w:r>
          </w:p>
        </w:tc>
      </w:tr>
      <w:tr>
        <w:tc>
          <w:tcPr>
            <w:tcW w:type="dxa" w:w="2520"/>
            <w:vAlign w:val="center"/>
          </w:tcPr>
          <w:p>
            <w:r/>
            <w:r>
              <w:rPr>
                <w:b w:val="0"/>
                <w:sz w:val="19"/>
              </w:rPr>
              <w:t>TC-006</w:t>
            </w:r>
          </w:p>
        </w:tc>
        <w:tc>
          <w:tcPr>
            <w:tcW w:type="dxa" w:w="2520"/>
            <w:vAlign w:val="center"/>
          </w:tcPr>
          <w:p>
            <w:r/>
            <w:r>
              <w:rPr>
                <w:b w:val="0"/>
                <w:sz w:val="19"/>
              </w:rPr>
              <w:t>Gemini temporary 503/429</w:t>
            </w:r>
          </w:p>
        </w:tc>
        <w:tc>
          <w:tcPr>
            <w:tcW w:type="dxa" w:w="2520"/>
            <w:vAlign w:val="center"/>
          </w:tcPr>
          <w:p>
            <w:r/>
            <w:r>
              <w:rPr>
                <w:b w:val="0"/>
                <w:sz w:val="19"/>
              </w:rPr>
              <w:t>Retry occurs and final error is readable if failure persists</w:t>
            </w:r>
          </w:p>
        </w:tc>
        <w:tc>
          <w:tcPr>
            <w:tcW w:type="dxa" w:w="2520"/>
            <w:vAlign w:val="center"/>
          </w:tcPr>
          <w:p>
            <w:r/>
            <w:r>
              <w:rPr>
                <w:b w:val="0"/>
                <w:sz w:val="19"/>
              </w:rPr>
              <w:t>Execute</w:t>
            </w:r>
          </w:p>
        </w:tc>
      </w:tr>
      <w:tr>
        <w:tc>
          <w:tcPr>
            <w:tcW w:type="dxa" w:w="2520"/>
            <w:vAlign w:val="center"/>
          </w:tcPr>
          <w:p>
            <w:r/>
            <w:r>
              <w:rPr>
                <w:b w:val="0"/>
                <w:sz w:val="19"/>
              </w:rPr>
              <w:t>TC-007</w:t>
            </w:r>
          </w:p>
        </w:tc>
        <w:tc>
          <w:tcPr>
            <w:tcW w:type="dxa" w:w="2520"/>
            <w:vAlign w:val="center"/>
          </w:tcPr>
          <w:p>
            <w:r/>
            <w:r>
              <w:rPr>
                <w:b w:val="0"/>
                <w:sz w:val="19"/>
              </w:rPr>
              <w:t>Gemini empty response</w:t>
            </w:r>
          </w:p>
        </w:tc>
        <w:tc>
          <w:tcPr>
            <w:tcW w:type="dxa" w:w="2520"/>
            <w:vAlign w:val="center"/>
          </w:tcPr>
          <w:p>
            <w:r/>
            <w:r>
              <w:rPr>
                <w:b w:val="0"/>
                <w:sz w:val="19"/>
              </w:rPr>
              <w:t>Generation fails safely with useful message</w:t>
            </w:r>
          </w:p>
        </w:tc>
        <w:tc>
          <w:tcPr>
            <w:tcW w:type="dxa" w:w="2520"/>
            <w:vAlign w:val="center"/>
          </w:tcPr>
          <w:p>
            <w:r/>
            <w:r>
              <w:rPr>
                <w:b w:val="0"/>
                <w:sz w:val="19"/>
              </w:rPr>
              <w:t>Execute</w:t>
            </w:r>
          </w:p>
        </w:tc>
      </w:tr>
      <w:tr>
        <w:tc>
          <w:tcPr>
            <w:tcW w:type="dxa" w:w="2520"/>
            <w:vAlign w:val="center"/>
          </w:tcPr>
          <w:p>
            <w:r/>
            <w:r>
              <w:rPr>
                <w:b w:val="0"/>
                <w:sz w:val="19"/>
              </w:rPr>
              <w:t>TC-008</w:t>
            </w:r>
          </w:p>
        </w:tc>
        <w:tc>
          <w:tcPr>
            <w:tcW w:type="dxa" w:w="2520"/>
            <w:vAlign w:val="center"/>
          </w:tcPr>
          <w:p>
            <w:r/>
            <w:r>
              <w:rPr>
                <w:b w:val="0"/>
                <w:sz w:val="19"/>
              </w:rPr>
              <w:t>Edit generated draft</w:t>
            </w:r>
          </w:p>
        </w:tc>
        <w:tc>
          <w:tcPr>
            <w:tcW w:type="dxa" w:w="2520"/>
            <w:vAlign w:val="center"/>
          </w:tcPr>
          <w:p>
            <w:r/>
            <w:r>
              <w:rPr>
                <w:b w:val="0"/>
                <w:sz w:val="19"/>
              </w:rPr>
              <w:t>Preview and downloads use edited text</w:t>
            </w:r>
          </w:p>
        </w:tc>
        <w:tc>
          <w:tcPr>
            <w:tcW w:type="dxa" w:w="2520"/>
            <w:vAlign w:val="center"/>
          </w:tcPr>
          <w:p>
            <w:r/>
            <w:r>
              <w:rPr>
                <w:b w:val="0"/>
                <w:sz w:val="19"/>
              </w:rPr>
              <w:t>Execute</w:t>
            </w:r>
          </w:p>
        </w:tc>
      </w:tr>
      <w:tr>
        <w:tc>
          <w:tcPr>
            <w:tcW w:type="dxa" w:w="2520"/>
            <w:vAlign w:val="center"/>
          </w:tcPr>
          <w:p>
            <w:r/>
            <w:r>
              <w:rPr>
                <w:b w:val="0"/>
                <w:sz w:val="19"/>
              </w:rPr>
              <w:t>TC-009</w:t>
            </w:r>
          </w:p>
        </w:tc>
        <w:tc>
          <w:tcPr>
            <w:tcW w:type="dxa" w:w="2520"/>
            <w:vAlign w:val="center"/>
          </w:tcPr>
          <w:p>
            <w:r/>
            <w:r>
              <w:rPr>
                <w:b w:val="0"/>
                <w:sz w:val="19"/>
              </w:rPr>
              <w:t>DOCX export</w:t>
            </w:r>
          </w:p>
        </w:tc>
        <w:tc>
          <w:tcPr>
            <w:tcW w:type="dxa" w:w="2520"/>
            <w:vAlign w:val="center"/>
          </w:tcPr>
          <w:p>
            <w:r/>
            <w:r>
              <w:rPr>
                <w:b w:val="0"/>
                <w:sz w:val="19"/>
              </w:rPr>
              <w:t>Readable DOCX with title, sections, footer, and optional logo</w:t>
            </w:r>
          </w:p>
        </w:tc>
        <w:tc>
          <w:tcPr>
            <w:tcW w:type="dxa" w:w="2520"/>
            <w:vAlign w:val="center"/>
          </w:tcPr>
          <w:p>
            <w:r/>
            <w:r>
              <w:rPr>
                <w:b w:val="0"/>
                <w:sz w:val="19"/>
              </w:rPr>
              <w:t>Execute</w:t>
            </w:r>
          </w:p>
        </w:tc>
      </w:tr>
      <w:tr>
        <w:tc>
          <w:tcPr>
            <w:tcW w:type="dxa" w:w="2520"/>
            <w:vAlign w:val="center"/>
          </w:tcPr>
          <w:p>
            <w:r/>
            <w:r>
              <w:rPr>
                <w:b w:val="0"/>
                <w:sz w:val="19"/>
              </w:rPr>
              <w:t>TC-010</w:t>
            </w:r>
          </w:p>
        </w:tc>
        <w:tc>
          <w:tcPr>
            <w:tcW w:type="dxa" w:w="2520"/>
            <w:vAlign w:val="center"/>
          </w:tcPr>
          <w:p>
            <w:r/>
            <w:r>
              <w:rPr>
                <w:b w:val="0"/>
                <w:sz w:val="19"/>
              </w:rPr>
              <w:t>PDF export</w:t>
            </w:r>
          </w:p>
        </w:tc>
        <w:tc>
          <w:tcPr>
            <w:tcW w:type="dxa" w:w="2520"/>
            <w:vAlign w:val="center"/>
          </w:tcPr>
          <w:p>
            <w:r/>
            <w:r>
              <w:rPr>
                <w:b w:val="0"/>
                <w:sz w:val="19"/>
              </w:rPr>
              <w:t>Readable PDF with title, sections, footer, and optional logo</w:t>
            </w:r>
          </w:p>
        </w:tc>
        <w:tc>
          <w:tcPr>
            <w:tcW w:type="dxa" w:w="2520"/>
            <w:vAlign w:val="center"/>
          </w:tcPr>
          <w:p>
            <w:r/>
            <w:r>
              <w:rPr>
                <w:b w:val="0"/>
                <w:sz w:val="19"/>
              </w:rPr>
              <w:t>Execute</w:t>
            </w:r>
          </w:p>
        </w:tc>
      </w:tr>
      <w:tr>
        <w:tc>
          <w:tcPr>
            <w:tcW w:type="dxa" w:w="2520"/>
            <w:vAlign w:val="center"/>
          </w:tcPr>
          <w:p>
            <w:r/>
            <w:r>
              <w:rPr>
                <w:b w:val="0"/>
                <w:sz w:val="19"/>
              </w:rPr>
              <w:t>TC-011</w:t>
            </w:r>
          </w:p>
        </w:tc>
        <w:tc>
          <w:tcPr>
            <w:tcW w:type="dxa" w:w="2520"/>
            <w:vAlign w:val="center"/>
          </w:tcPr>
          <w:p>
            <w:r/>
            <w:r>
              <w:rPr>
                <w:b w:val="0"/>
                <w:sz w:val="19"/>
              </w:rPr>
              <w:t>Disclaimer check</w:t>
            </w:r>
          </w:p>
        </w:tc>
        <w:tc>
          <w:tcPr>
            <w:tcW w:type="dxa" w:w="2520"/>
            <w:vAlign w:val="center"/>
          </w:tcPr>
          <w:p>
            <w:r/>
            <w:r>
              <w:rPr>
                <w:b w:val="0"/>
                <w:sz w:val="19"/>
              </w:rPr>
              <w:t>User sees legal-review warning</w:t>
            </w:r>
          </w:p>
        </w:tc>
        <w:tc>
          <w:tcPr>
            <w:tcW w:type="dxa" w:w="2520"/>
            <w:vAlign w:val="center"/>
          </w:tcPr>
          <w:p>
            <w:r/>
            <w:r>
              <w:rPr>
                <w:b w:val="0"/>
                <w:sz w:val="19"/>
              </w:rPr>
              <w:t>Execute</w:t>
            </w:r>
          </w:p>
        </w:tc>
      </w:tr>
      <w:tr>
        <w:tc>
          <w:tcPr>
            <w:tcW w:type="dxa" w:w="2520"/>
            <w:vAlign w:val="center"/>
          </w:tcPr>
          <w:p>
            <w:r/>
            <w:r>
              <w:rPr>
                <w:b w:val="0"/>
                <w:sz w:val="19"/>
              </w:rPr>
              <w:t>TC-012</w:t>
            </w:r>
          </w:p>
        </w:tc>
        <w:tc>
          <w:tcPr>
            <w:tcW w:type="dxa" w:w="2520"/>
            <w:vAlign w:val="center"/>
          </w:tcPr>
          <w:p>
            <w:r/>
            <w:r>
              <w:rPr>
                <w:b w:val="0"/>
                <w:sz w:val="19"/>
              </w:rPr>
              <w:t>Security check</w:t>
            </w:r>
          </w:p>
        </w:tc>
        <w:tc>
          <w:tcPr>
            <w:tcW w:type="dxa" w:w="2520"/>
            <w:vAlign w:val="center"/>
          </w:tcPr>
          <w:p>
            <w:r/>
            <w:r>
              <w:rPr>
                <w:b w:val="0"/>
                <w:sz w:val="19"/>
              </w:rPr>
              <w:t>No key in source, logs, or downloadable output</w:t>
            </w:r>
          </w:p>
        </w:tc>
        <w:tc>
          <w:tcPr>
            <w:tcW w:type="dxa" w:w="2520"/>
            <w:vAlign w:val="center"/>
          </w:tcPr>
          <w:p>
            <w:r/>
            <w:r>
              <w:rPr>
                <w:b w:val="0"/>
                <w:sz w:val="19"/>
              </w:rPr>
              <w:t>Execute</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Acceptance Area</w:t>
            </w:r>
          </w:p>
        </w:tc>
        <w:tc>
          <w:tcPr>
            <w:tcW w:type="dxa" w:w="5040"/>
            <w:vAlign w:val="center"/>
            <w:shd w:fill="1F4E78"/>
          </w:tcPr>
          <w:p>
            <w:r/>
            <w:r>
              <w:rPr>
                <w:b/>
                <w:color w:val="FFFFFF"/>
                <w:sz w:val="19"/>
              </w:rPr>
              <w:t>Acceptance Criterion</w:t>
            </w:r>
          </w:p>
        </w:tc>
      </w:tr>
      <w:tr>
        <w:tc>
          <w:tcPr>
            <w:tcW w:type="dxa" w:w="5040"/>
            <w:vAlign w:val="center"/>
          </w:tcPr>
          <w:p>
            <w:r/>
            <w:r>
              <w:rPr>
                <w:b w:val="0"/>
                <w:sz w:val="19"/>
              </w:rPr>
              <w:t>Functionality</w:t>
            </w:r>
          </w:p>
        </w:tc>
        <w:tc>
          <w:tcPr>
            <w:tcW w:type="dxa" w:w="5040"/>
            <w:vAlign w:val="center"/>
          </w:tcPr>
          <w:p>
            <w:r/>
            <w:r>
              <w:rPr>
                <w:b w:val="0"/>
                <w:sz w:val="19"/>
              </w:rPr>
              <w:t>User can create and download a draft with valid inputs</w:t>
            </w:r>
          </w:p>
        </w:tc>
      </w:tr>
      <w:tr>
        <w:tc>
          <w:tcPr>
            <w:tcW w:type="dxa" w:w="5040"/>
            <w:vAlign w:val="center"/>
          </w:tcPr>
          <w:p>
            <w:r/>
            <w:r>
              <w:rPr>
                <w:b w:val="0"/>
                <w:sz w:val="19"/>
              </w:rPr>
              <w:t>Usability</w:t>
            </w:r>
          </w:p>
        </w:tc>
        <w:tc>
          <w:tcPr>
            <w:tcW w:type="dxa" w:w="5040"/>
            <w:vAlign w:val="center"/>
          </w:tcPr>
          <w:p>
            <w:r/>
            <w:r>
              <w:rPr>
                <w:b w:val="0"/>
                <w:sz w:val="19"/>
              </w:rPr>
              <w:t>Inputs, errors, preview, and download controls are understandable</w:t>
            </w:r>
          </w:p>
        </w:tc>
      </w:tr>
      <w:tr>
        <w:tc>
          <w:tcPr>
            <w:tcW w:type="dxa" w:w="5040"/>
            <w:vAlign w:val="center"/>
          </w:tcPr>
          <w:p>
            <w:r/>
            <w:r>
              <w:rPr>
                <w:b w:val="0"/>
                <w:sz w:val="19"/>
              </w:rPr>
              <w:t>Reliability</w:t>
            </w:r>
          </w:p>
        </w:tc>
        <w:tc>
          <w:tcPr>
            <w:tcW w:type="dxa" w:w="5040"/>
            <w:vAlign w:val="center"/>
          </w:tcPr>
          <w:p>
            <w:r/>
            <w:r>
              <w:rPr>
                <w:b w:val="0"/>
                <w:sz w:val="19"/>
              </w:rPr>
              <w:t>Backend failures do not crash the UI silently</w:t>
            </w:r>
          </w:p>
        </w:tc>
      </w:tr>
      <w:tr>
        <w:tc>
          <w:tcPr>
            <w:tcW w:type="dxa" w:w="5040"/>
            <w:vAlign w:val="center"/>
          </w:tcPr>
          <w:p>
            <w:r/>
            <w:r>
              <w:rPr>
                <w:b w:val="0"/>
                <w:sz w:val="19"/>
              </w:rPr>
              <w:t>Safety</w:t>
            </w:r>
          </w:p>
        </w:tc>
        <w:tc>
          <w:tcPr>
            <w:tcW w:type="dxa" w:w="5040"/>
            <w:vAlign w:val="center"/>
          </w:tcPr>
          <w:p>
            <w:r/>
            <w:r>
              <w:rPr>
                <w:b w:val="0"/>
                <w:sz w:val="19"/>
              </w:rPr>
              <w:t>System does not claim legal validity or replace qualified advice</w:t>
            </w:r>
          </w:p>
        </w:tc>
      </w:tr>
      <w:tr>
        <w:tc>
          <w:tcPr>
            <w:tcW w:type="dxa" w:w="5040"/>
            <w:vAlign w:val="center"/>
          </w:tcPr>
          <w:p>
            <w:r/>
            <w:r>
              <w:rPr>
                <w:b w:val="0"/>
                <w:sz w:val="19"/>
              </w:rPr>
              <w:t>Maintainability</w:t>
            </w:r>
          </w:p>
        </w:tc>
        <w:tc>
          <w:tcPr>
            <w:tcW w:type="dxa" w:w="5040"/>
            <w:vAlign w:val="center"/>
          </w:tcPr>
          <w:p>
            <w:r/>
            <w:r>
              <w:rPr>
                <w:b w:val="0"/>
                <w:sz w:val="19"/>
              </w:rPr>
              <w:t>Backend, AI service, UI, and formatting remain separate modules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LegalEaseAI | AI-assisted legal drafting prototype | Review with a qualified legal professional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