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4"/>
        </w:rPr>
        <w:t>LegalEaseAI</w:t>
      </w:r>
    </w:p>
    <w:p>
      <w:pPr>
        <w:jc w:val="center"/>
      </w:pPr>
      <w:r>
        <w:rPr>
          <w:b/>
          <w:sz w:val="32"/>
        </w:rPr>
        <w:t>Phase 7 — Project Documentation</w:t>
      </w:r>
    </w:p>
    <w:p>
      <w:pPr>
        <w:jc w:val="center"/>
      </w:pPr>
      <w:r>
        <w:rPr>
          <w:i/>
          <w:color w:val="5A5A5A"/>
          <w:sz w:val="20"/>
        </w:rPr>
        <w:t>Full project report, setup guide, API catalogue, and user guide</w:t>
      </w:r>
    </w:p>
    <w:p/>
    <w:tbl>
      <w:tblPr>
        <w:tblStyle w:val="TableGrid"/>
        <w:tblW w:type="auto" w:w="0"/>
        <w:jc w:val="center"/>
        <w:tblLook w:firstColumn="1" w:firstRow="1" w:lastColumn="0" w:lastRow="0" w:noHBand="0" w:noVBand="1" w:val="04A0"/>
      </w:tblPr>
      <w:tblGrid>
        <w:gridCol w:w="5040"/>
        <w:gridCol w:w="5040"/>
      </w:tblGrid>
      <w:tr>
        <w:tc>
          <w:tcPr>
            <w:tcW w:type="dxa" w:w="2880"/>
            <w:vAlign w:val="center"/>
            <w:shd w:fill="1F4E78"/>
          </w:tcPr>
          <w:p>
            <w:r/>
            <w:r>
              <w:rPr>
                <w:b/>
                <w:color w:val="FFFFFF"/>
                <w:sz w:val="19"/>
              </w:rPr>
              <w:t>Project Information</w:t>
            </w:r>
          </w:p>
        </w:tc>
        <w:tc>
          <w:tcPr>
            <w:tcW w:type="dxa" w:w="6912"/>
            <w:vAlign w:val="center"/>
            <w:shd w:fill="1F4E78"/>
          </w:tcPr>
          <w:p>
            <w:r/>
            <w:r>
              <w:rPr>
                <w:b/>
                <w:color w:val="FFFFFF"/>
                <w:sz w:val="19"/>
              </w:rPr>
              <w:t>Details</w:t>
            </w:r>
          </w:p>
        </w:tc>
      </w:tr>
      <w:tr>
        <w:tc>
          <w:tcPr>
            <w:tcW w:type="dxa" w:w="2880"/>
            <w:vAlign w:val="center"/>
          </w:tcPr>
          <w:p>
            <w:r/>
            <w:r>
              <w:rPr>
                <w:b w:val="0"/>
                <w:sz w:val="19"/>
              </w:rPr>
              <w:t>Project Title</w:t>
            </w:r>
          </w:p>
        </w:tc>
        <w:tc>
          <w:tcPr>
            <w:tcW w:type="dxa" w:w="6912"/>
            <w:vAlign w:val="center"/>
          </w:tcPr>
          <w:p>
            <w:r/>
            <w:r>
              <w:rPr>
                <w:b w:val="0"/>
                <w:sz w:val="19"/>
              </w:rPr>
              <w:t>LegalEaseAI — AI-Powered Legal Document Generator</w:t>
            </w:r>
          </w:p>
        </w:tc>
      </w:tr>
      <w:tr>
        <w:tc>
          <w:tcPr>
            <w:tcW w:type="dxa" w:w="2880"/>
            <w:vAlign w:val="center"/>
          </w:tcPr>
          <w:p>
            <w:r/>
            <w:r>
              <w:rPr>
                <w:b w:val="0"/>
                <w:sz w:val="19"/>
              </w:rPr>
              <w:t>Team ID</w:t>
            </w:r>
          </w:p>
        </w:tc>
        <w:tc>
          <w:tcPr>
            <w:tcW w:type="dxa" w:w="6912"/>
            <w:vAlign w:val="center"/>
          </w:tcPr>
          <w:p>
            <w:r/>
            <w:r>
              <w:rPr>
                <w:b w:val="0"/>
                <w:sz w:val="19"/>
              </w:rPr>
              <w:t>SWTID-2026-7680</w:t>
            </w:r>
          </w:p>
        </w:tc>
      </w:tr>
      <w:tr>
        <w:tc>
          <w:tcPr>
            <w:tcW w:type="dxa" w:w="2880"/>
            <w:vAlign w:val="center"/>
          </w:tcPr>
          <w:p>
            <w:r/>
            <w:r>
              <w:rPr>
                <w:b w:val="0"/>
                <w:sz w:val="19"/>
              </w:rPr>
              <w:t>Team Size</w:t>
            </w:r>
          </w:p>
        </w:tc>
        <w:tc>
          <w:tcPr>
            <w:tcW w:type="dxa" w:w="6912"/>
            <w:vAlign w:val="center"/>
          </w:tcPr>
          <w:p>
            <w:r/>
            <w:r>
              <w:rPr>
                <w:b w:val="0"/>
                <w:sz w:val="19"/>
              </w:rPr>
              <w:t>3</w:t>
            </w:r>
          </w:p>
        </w:tc>
      </w:tr>
      <w:tr>
        <w:tc>
          <w:tcPr>
            <w:tcW w:type="dxa" w:w="2880"/>
            <w:vAlign w:val="center"/>
          </w:tcPr>
          <w:p>
            <w:r/>
            <w:r>
              <w:rPr>
                <w:b w:val="0"/>
                <w:sz w:val="19"/>
              </w:rPr>
              <w:t>Team Leader</w:t>
            </w:r>
          </w:p>
        </w:tc>
        <w:tc>
          <w:tcPr>
            <w:tcW w:type="dxa" w:w="6912"/>
            <w:vAlign w:val="center"/>
          </w:tcPr>
          <w:p>
            <w:r/>
            <w:r>
              <w:rPr>
                <w:b w:val="0"/>
                <w:sz w:val="19"/>
              </w:rPr>
              <w:t>Vigneshan P</w:t>
            </w:r>
          </w:p>
        </w:tc>
      </w:tr>
      <w:tr>
        <w:tc>
          <w:tcPr>
            <w:tcW w:type="dxa" w:w="2880"/>
            <w:vAlign w:val="center"/>
          </w:tcPr>
          <w:p>
            <w:r/>
            <w:r>
              <w:rPr>
                <w:b w:val="0"/>
                <w:sz w:val="19"/>
              </w:rPr>
              <w:t>Team Members</w:t>
            </w:r>
          </w:p>
        </w:tc>
        <w:tc>
          <w:tcPr>
            <w:tcW w:type="dxa" w:w="6912"/>
            <w:vAlign w:val="center"/>
          </w:tcPr>
          <w:p>
            <w:r/>
            <w:r>
              <w:rPr>
                <w:b w:val="0"/>
                <w:sz w:val="19"/>
              </w:rPr>
              <w:t>Udhaya kumar R; Vimal S</w:t>
            </w:r>
          </w:p>
        </w:tc>
      </w:tr>
      <w:tr>
        <w:tc>
          <w:tcPr>
            <w:tcW w:type="dxa" w:w="2880"/>
            <w:vAlign w:val="center"/>
          </w:tcPr>
          <w:p>
            <w:r/>
            <w:r>
              <w:rPr>
                <w:b w:val="0"/>
                <w:sz w:val="19"/>
              </w:rPr>
              <w:t>Prepared Date</w:t>
            </w:r>
          </w:p>
        </w:tc>
        <w:tc>
          <w:tcPr>
            <w:tcW w:type="dxa" w:w="6912"/>
            <w:vAlign w:val="center"/>
          </w:tcPr>
          <w:p>
            <w:r/>
            <w:r>
              <w:rPr>
                <w:b w:val="0"/>
                <w:sz w:val="19"/>
              </w:rPr>
              <w:t>28/09/2026</w:t>
            </w:r>
          </w:p>
        </w:tc>
      </w:tr>
    </w:tbl>
    <w:p/>
    <w:p>
      <w:pPr>
        <w:pStyle w:val="Heading1"/>
      </w:pPr>
      <w:r>
        <w:t>Executive Summary</w:t>
      </w:r>
    </w:p>
    <w:p>
      <w:r>
        <w:t>LegalEaseAI is an AI-assisted legal document drafting prototype for creating editable first drafts of common agreements. It combines a Streamlit interface, FastAPI backend, Gemini generation, and deterministic DOCX/PDF formatting. The system is designed to reduce drafting friction while maintaining a clear boundary: generated content requires user editing and review by a qualified legal professional.</w:t>
      </w:r>
    </w:p>
    <w:p>
      <w:pPr>
        <w:pStyle w:val="Heading1"/>
      </w:pPr>
      <w:r>
        <w:t>User Guide</w:t>
      </w:r>
    </w:p>
    <w:p>
      <w:pPr>
        <w:pStyle w:val="ListBullet"/>
        <w:spacing w:after="40"/>
      </w:pPr>
      <w:r>
        <w:t>Start the FastAPI backend on port 8000.</w:t>
      </w:r>
    </w:p>
    <w:p>
      <w:pPr>
        <w:pStyle w:val="ListBullet"/>
        <w:spacing w:after="40"/>
      </w:pPr>
      <w:r>
        <w:t>Start the Streamlit frontend and confirm that BACKEND_URL points to the backend.</w:t>
      </w:r>
    </w:p>
    <w:p>
      <w:pPr>
        <w:pStyle w:val="ListBullet"/>
        <w:spacing w:after="40"/>
      </w:pPr>
      <w:r>
        <w:t>Select a document type or choose Other.</w:t>
      </w:r>
    </w:p>
    <w:p>
      <w:pPr>
        <w:pStyle w:val="ListBullet"/>
        <w:spacing w:after="40"/>
      </w:pPr>
      <w:r>
        <w:t>Enter effective date, parties, and terms.</w:t>
      </w:r>
    </w:p>
    <w:p>
      <w:pPr>
        <w:pStyle w:val="ListBullet"/>
        <w:spacing w:after="40"/>
      </w:pPr>
      <w:r>
        <w:t>Optionally upload a PNG or JPG logo.</w:t>
      </w:r>
    </w:p>
    <w:p>
      <w:pPr>
        <w:pStyle w:val="ListBullet"/>
        <w:spacing w:after="40"/>
      </w:pPr>
      <w:r>
        <w:t>Select Generate Document.</w:t>
      </w:r>
    </w:p>
    <w:p>
      <w:pPr>
        <w:pStyle w:val="ListBullet"/>
        <w:spacing w:after="40"/>
      </w:pPr>
      <w:r>
        <w:t>Review and edit the generated text.</w:t>
      </w:r>
    </w:p>
    <w:p>
      <w:pPr>
        <w:pStyle w:val="ListBullet"/>
        <w:spacing w:after="40"/>
      </w:pPr>
      <w:r>
        <w:t>Download TXT, DOCX, or PDF.</w:t>
      </w:r>
    </w:p>
    <w:p>
      <w:pPr>
        <w:pStyle w:val="Heading1"/>
      </w:pPr>
      <w:r>
        <w:t>API Catalogue</w:t>
      </w:r>
    </w:p>
    <w:p>
      <w:r>
        <w:t>POST /generate accepts document_type, parties, terms, and effective_date. The response contains a document field. GET /health returns a health status. GET / returns an API-running message. The API is intended for the Streamlit client and future external clients.</w:t>
      </w:r>
    </w:p>
    <w:p>
      <w:pPr>
        <w:pStyle w:val="Heading1"/>
      </w:pPr>
      <w:r>
        <w:t>Setup Guide</w:t>
      </w:r>
    </w:p>
    <w:p>
      <w:r>
        <w:t>Create a Python virtual environment, install requirements.txt, create a .env file from the documented configuration keys, start FastAPI with Uvicorn, then start Streamlit. The project should not package .venv or expose the Gemini key. Exact commands should be maintained in the project README.</w:t>
      </w:r>
    </w:p>
    <w:p>
      <w:pPr>
        <w:pStyle w:val="Heading1"/>
      </w:pPr>
      <w:r>
        <w:t>Future Scope</w:t>
      </w:r>
    </w:p>
    <w:p>
      <w:pPr>
        <w:pStyle w:val="ListBullet"/>
        <w:spacing w:after="40"/>
      </w:pPr>
      <w:r>
        <w:t>Authentication and saved document history</w:t>
      </w:r>
    </w:p>
    <w:p>
      <w:pPr>
        <w:pStyle w:val="ListBullet"/>
        <w:spacing w:after="40"/>
      </w:pPr>
      <w:r>
        <w:t>Jurisdiction and governing-law selection with validation</w:t>
      </w:r>
    </w:p>
    <w:p>
      <w:pPr>
        <w:pStyle w:val="ListBullet"/>
        <w:spacing w:after="40"/>
      </w:pPr>
      <w:r>
        <w:t>Reusable clause library and template management</w:t>
      </w:r>
    </w:p>
    <w:p>
      <w:pPr>
        <w:pStyle w:val="ListBullet"/>
        <w:spacing w:after="40"/>
      </w:pPr>
      <w:r>
        <w:t>Document versioning and audit trail</w:t>
      </w:r>
    </w:p>
    <w:p>
      <w:pPr>
        <w:pStyle w:val="ListBullet"/>
        <w:spacing w:after="40"/>
      </w:pPr>
      <w:r>
        <w:t>Human legal-review workflow</w:t>
      </w:r>
    </w:p>
    <w:p>
      <w:pPr>
        <w:pStyle w:val="ListBullet"/>
        <w:spacing w:after="40"/>
      </w:pPr>
      <w:r>
        <w:t>Rate limiting, logging, monitoring, and usage analytics</w:t>
      </w:r>
    </w:p>
    <w:p>
      <w:pPr>
        <w:pStyle w:val="ListBullet"/>
        <w:spacing w:after="40"/>
      </w:pPr>
      <w:r>
        <w:t>Automated content-quality evaluation with lawyer-reviewed benchmarks</w:t>
      </w:r>
    </w:p>
    <w:p>
      <w:pPr>
        <w:pStyle w:val="ListBullet"/>
        <w:spacing w:after="40"/>
      </w:pPr>
      <w:r>
        <w:t>Secure deployment with restricted CORS and secret management</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F4E78"/>
          </w:tcPr>
          <w:p>
            <w:r/>
            <w:r>
              <w:rPr>
                <w:b/>
                <w:color w:val="FFFFFF"/>
                <w:sz w:val="19"/>
              </w:rPr>
              <w:t>Artifact</w:t>
            </w:r>
          </w:p>
        </w:tc>
        <w:tc>
          <w:tcPr>
            <w:tcW w:type="dxa" w:w="5040"/>
            <w:vAlign w:val="center"/>
            <w:shd w:fill="1F4E78"/>
          </w:tcPr>
          <w:p>
            <w:r/>
            <w:r>
              <w:rPr>
                <w:b/>
                <w:color w:val="FFFFFF"/>
                <w:sz w:val="19"/>
              </w:rPr>
              <w:t>Purpose</w:t>
            </w:r>
          </w:p>
        </w:tc>
      </w:tr>
      <w:tr>
        <w:tc>
          <w:tcPr>
            <w:tcW w:type="dxa" w:w="5040"/>
            <w:vAlign w:val="center"/>
          </w:tcPr>
          <w:p>
            <w:r/>
            <w:r>
              <w:rPr>
                <w:b w:val="0"/>
                <w:sz w:val="19"/>
              </w:rPr>
              <w:t>Source code</w:t>
            </w:r>
          </w:p>
        </w:tc>
        <w:tc>
          <w:tcPr>
            <w:tcW w:type="dxa" w:w="5040"/>
            <w:vAlign w:val="center"/>
          </w:tcPr>
          <w:p>
            <w:r/>
            <w:r>
              <w:rPr>
                <w:b w:val="0"/>
                <w:sz w:val="19"/>
              </w:rPr>
              <w:t>Application implementation for UI, API, Gemini, and formatting</w:t>
            </w:r>
          </w:p>
        </w:tc>
      </w:tr>
      <w:tr>
        <w:tc>
          <w:tcPr>
            <w:tcW w:type="dxa" w:w="5040"/>
            <w:vAlign w:val="center"/>
          </w:tcPr>
          <w:p>
            <w:r/>
            <w:r>
              <w:rPr>
                <w:b w:val="0"/>
                <w:sz w:val="19"/>
              </w:rPr>
              <w:t>requirements.txt</w:t>
            </w:r>
          </w:p>
        </w:tc>
        <w:tc>
          <w:tcPr>
            <w:tcW w:type="dxa" w:w="5040"/>
            <w:vAlign w:val="center"/>
          </w:tcPr>
          <w:p>
            <w:r/>
            <w:r>
              <w:rPr>
                <w:b w:val="0"/>
                <w:sz w:val="19"/>
              </w:rPr>
              <w:t>Installable dependencies</w:t>
            </w:r>
          </w:p>
        </w:tc>
      </w:tr>
      <w:tr>
        <w:tc>
          <w:tcPr>
            <w:tcW w:type="dxa" w:w="5040"/>
            <w:vAlign w:val="center"/>
          </w:tcPr>
          <w:p>
            <w:r/>
            <w:r>
              <w:rPr>
                <w:b w:val="0"/>
                <w:sz w:val="19"/>
              </w:rPr>
              <w:t>.gitignore</w:t>
            </w:r>
          </w:p>
        </w:tc>
        <w:tc>
          <w:tcPr>
            <w:tcW w:type="dxa" w:w="5040"/>
            <w:vAlign w:val="center"/>
          </w:tcPr>
          <w:p>
            <w:r/>
            <w:r>
              <w:rPr>
                <w:b w:val="0"/>
                <w:sz w:val="19"/>
              </w:rPr>
              <w:t>Excludes virtual environment, bytecode, secrets, and Streamlit secrets</w:t>
            </w:r>
          </w:p>
        </w:tc>
      </w:tr>
      <w:tr>
        <w:tc>
          <w:tcPr>
            <w:tcW w:type="dxa" w:w="5040"/>
            <w:vAlign w:val="center"/>
          </w:tcPr>
          <w:p>
            <w:r/>
            <w:r>
              <w:rPr>
                <w:b w:val="0"/>
                <w:sz w:val="19"/>
              </w:rPr>
              <w:t>This phase document</w:t>
            </w:r>
          </w:p>
        </w:tc>
        <w:tc>
          <w:tcPr>
            <w:tcW w:type="dxa" w:w="5040"/>
            <w:vAlign w:val="center"/>
          </w:tcPr>
          <w:p>
            <w:r/>
            <w:r>
              <w:rPr>
                <w:b w:val="0"/>
                <w:sz w:val="19"/>
              </w:rPr>
              <w:t>Project overview, usage, API, limitations, and future scope</w:t>
            </w:r>
          </w:p>
        </w:tc>
      </w:tr>
    </w:tbl>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color w:val="646464"/>
        <w:sz w:val="16"/>
      </w:rPr>
      <w:t>LegalEaseAI | AI-assisted legal drafting prototype | Review with a qualified legal professional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