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LegalEaseAI</w:t>
      </w:r>
    </w:p>
    <w:p>
      <w:pPr>
        <w:jc w:val="center"/>
      </w:pPr>
      <w:r>
        <w:rPr>
          <w:b/>
          <w:sz w:val="32"/>
        </w:rPr>
        <w:t>Phase 8 — Deployment &amp; Maintenance</w:t>
      </w:r>
    </w:p>
    <w:p>
      <w:pPr>
        <w:jc w:val="center"/>
      </w:pPr>
      <w:r>
        <w:rPr>
          <w:i/>
          <w:color w:val="5A5A5A"/>
          <w:sz w:val="20"/>
        </w:rPr>
        <w:t>Deployment readiness, security controls, operations, and handover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Project Information</w:t>
            </w:r>
          </w:p>
        </w:tc>
        <w:tc>
          <w:tcPr>
            <w:tcW w:type="dxa" w:w="6912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Project Title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LegalEaseAI — AI-Powered Legal Document Generator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SWTID-2026-7680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Team Size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Team Leader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Vigneshan P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Team Members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Udhaya kumar R; Vimal 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Prepared Date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28/09/2026</w:t>
            </w:r>
          </w:p>
        </w:tc>
      </w:tr>
    </w:tbl>
    <w:p/>
    <w:p>
      <w:pPr>
        <w:pStyle w:val="Heading1"/>
      </w:pPr>
      <w:r>
        <w:t>Deployment Strategy</w:t>
      </w:r>
    </w:p>
    <w:p>
      <w:r>
        <w:t>For demonstration, run FastAPI and Streamlit as two local processes. FastAPI serves the API on the configured host and port, while Streamlit serves the user interface. For a shared deployment, place both services behind HTTPS and a reverse proxy, use a managed secret store, restrict CORS to the deployed frontend origin, and avoid shipping the local .venv.</w:t>
      </w:r>
    </w:p>
    <w:p>
      <w:pPr>
        <w:pStyle w:val="Heading1"/>
      </w:pPr>
      <w:r>
        <w:t>Minimum Deployment Checklist</w:t>
      </w:r>
    </w:p>
    <w:p>
      <w:pPr>
        <w:pStyle w:val="ListBullet"/>
        <w:spacing w:after="40"/>
      </w:pPr>
      <w:r>
        <w:t>Install dependencies from requirements.txt in a clean environment.</w:t>
      </w:r>
    </w:p>
    <w:p>
      <w:pPr>
        <w:pStyle w:val="ListBullet"/>
        <w:spacing w:after="40"/>
      </w:pPr>
      <w:r>
        <w:t>Set GEMINI_API_KEY through the deployment secret manager.</w:t>
      </w:r>
    </w:p>
    <w:p>
      <w:pPr>
        <w:pStyle w:val="ListBullet"/>
        <w:spacing w:after="40"/>
      </w:pPr>
      <w:r>
        <w:t>Set GEMINI_MODEL and BACKEND_URL explicitly.</w:t>
      </w:r>
    </w:p>
    <w:p>
      <w:pPr>
        <w:pStyle w:val="ListBullet"/>
        <w:spacing w:after="40"/>
      </w:pPr>
      <w:r>
        <w:t>Start and verify GET /health.</w:t>
      </w:r>
    </w:p>
    <w:p>
      <w:pPr>
        <w:pStyle w:val="ListBullet"/>
        <w:spacing w:after="40"/>
      </w:pPr>
      <w:r>
        <w:t>Open the Streamlit UI and perform one controlled test generation.</w:t>
      </w:r>
    </w:p>
    <w:p>
      <w:pPr>
        <w:pStyle w:val="ListBullet"/>
        <w:spacing w:after="40"/>
      </w:pPr>
      <w:r>
        <w:t>Verify TXT, DOCX, and PDF downloads.</w:t>
      </w:r>
    </w:p>
    <w:p>
      <w:pPr>
        <w:pStyle w:val="ListBullet"/>
        <w:spacing w:after="40"/>
      </w:pPr>
      <w:r>
        <w:t>Confirm that no .env, API key, __pycache__, or .venv is included in the release archive.</w:t>
      </w:r>
    </w:p>
    <w:p>
      <w:pPr>
        <w:pStyle w:val="ListBullet"/>
        <w:spacing w:after="40"/>
      </w:pPr>
      <w:r>
        <w:t>Enable HTTPS, access logs without sensitive payloads, and operational monitoring before public exposure.</w:t>
      </w:r>
    </w:p>
    <w:p>
      <w:pPr>
        <w:pStyle w:val="Heading1"/>
      </w:pPr>
      <w:r>
        <w:t>Security and Legal Controls</w:t>
      </w:r>
    </w:p>
    <w:p>
      <w:pPr>
        <w:pStyle w:val="ListBullet"/>
        <w:spacing w:after="40"/>
      </w:pPr>
      <w:r>
        <w:t>Restrict CORS allow_origins from * to the actual frontend origin in production.</w:t>
      </w:r>
    </w:p>
    <w:p>
      <w:pPr>
        <w:pStyle w:val="ListBullet"/>
        <w:spacing w:after="40"/>
      </w:pPr>
      <w:r>
        <w:t>Never place API keys in source code, frontend code, generated documents, or logs.</w:t>
      </w:r>
    </w:p>
    <w:p>
      <w:pPr>
        <w:pStyle w:val="ListBullet"/>
        <w:spacing w:after="40"/>
      </w:pPr>
      <w:r>
        <w:t>Add authentication and rate limiting before allowing public API access.</w:t>
      </w:r>
    </w:p>
    <w:p>
      <w:pPr>
        <w:pStyle w:val="ListBullet"/>
        <w:spacing w:after="40"/>
      </w:pPr>
      <w:r>
        <w:t>Treat user-supplied parties and terms as potentially sensitive personal or business information.</w:t>
      </w:r>
    </w:p>
    <w:p>
      <w:pPr>
        <w:pStyle w:val="ListBullet"/>
        <w:spacing w:after="40"/>
      </w:pPr>
      <w:r>
        <w:t>Add a privacy notice and data-retention policy.</w:t>
      </w:r>
    </w:p>
    <w:p>
      <w:pPr>
        <w:pStyle w:val="ListBullet"/>
        <w:spacing w:after="40"/>
      </w:pPr>
      <w:r>
        <w:t>Keep the AI-assisted draft disclaimer visible in the UI and exported documents.</w:t>
      </w:r>
    </w:p>
    <w:p>
      <w:pPr>
        <w:pStyle w:val="ListBullet"/>
        <w:spacing w:after="40"/>
      </w:pPr>
      <w:r>
        <w:t>Require qualified legal review for important documents and jurisdiction-specific use.</w:t>
      </w:r>
    </w:p>
    <w:p>
      <w:pPr>
        <w:pStyle w:val="Heading1"/>
      </w:pPr>
      <w:r>
        <w:t>Maintenance Plan</w:t>
      </w:r>
    </w:p>
    <w:p>
      <w:pPr>
        <w:pStyle w:val="ListBullet"/>
        <w:spacing w:after="40"/>
      </w:pPr>
      <w:r>
        <w:t>Monitor Gemini availability, quota, latency, and error rates.</w:t>
      </w:r>
    </w:p>
    <w:p>
      <w:pPr>
        <w:pStyle w:val="ListBullet"/>
        <w:spacing w:after="40"/>
      </w:pPr>
      <w:r>
        <w:t>Review prompt changes with regression examples before release.</w:t>
      </w:r>
    </w:p>
    <w:p>
      <w:pPr>
        <w:pStyle w:val="ListBullet"/>
        <w:spacing w:after="40"/>
      </w:pPr>
      <w:r>
        <w:t>Update dependencies within compatible version ranges and retest exports.</w:t>
      </w:r>
    </w:p>
    <w:p>
      <w:pPr>
        <w:pStyle w:val="ListBullet"/>
        <w:spacing w:after="40"/>
      </w:pPr>
      <w:r>
        <w:t>Add automated tests for validation, API errors, prompt safety, and file generation.</w:t>
      </w:r>
    </w:p>
    <w:p>
      <w:pPr>
        <w:pStyle w:val="ListBullet"/>
        <w:spacing w:after="40"/>
      </w:pPr>
      <w:r>
        <w:t>Review generated document quality with a qualified legal reviewer.</w:t>
      </w:r>
    </w:p>
    <w:p>
      <w:pPr>
        <w:pStyle w:val="ListBullet"/>
        <w:spacing w:after="40"/>
      </w:pPr>
      <w:r>
        <w:t>Maintain a changelog and rollbackable deployment artifact.</w:t>
      </w:r>
    </w:p>
    <w:p>
      <w:pPr>
        <w:pStyle w:val="Heading1"/>
      </w:pPr>
      <w:r>
        <w:t>Handover Summary</w:t>
      </w:r>
    </w:p>
    <w:p>
      <w:r>
        <w:t>LegalEaseAI v1 is suitable as an academic or controlled demonstration prototype. It is not yet a production legal service because it lacks authentication, rate limiting, persistent audit history, jurisdiction-aware validation, and independent legal-content quality assurance.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Operational Area</w:t>
            </w:r>
          </w:p>
        </w:tc>
        <w:tc>
          <w:tcPr>
            <w:tcW w:type="dxa" w:w="2520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2520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Frequency</w:t>
            </w:r>
          </w:p>
        </w:tc>
        <w:tc>
          <w:tcPr>
            <w:tcW w:type="dxa" w:w="2520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Health and availability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Vigneshan 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Each release / daily when hosted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/health result and service log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UI and export review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Udhaya kumar 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Each release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Sample TXT/DOCX/PDF artifacts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API, prompt, and dependency review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Vimal 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Each release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Test report and dependency review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Legal safety review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All members with qualified reviewer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Before public use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Signed review checklist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Backup and release archive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Team leader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Each release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Versioned source and deployment package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Release Gate</w:t>
            </w:r>
          </w:p>
        </w:tc>
        <w:tc>
          <w:tcPr>
            <w:tcW w:type="dxa" w:w="5040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Pass Condition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Configuration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Secrets loaded securely and not committed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Integration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UI successfully communicates with API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Generation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Valid request produces non-empty draft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Exports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All requested formats open correctly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Safety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Disclaimer, placeholders, and review warning are present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Operations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Health endpoint and error handling are verified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46464"/>
        <w:sz w:val="16"/>
      </w:rPr>
      <w:t>LegalEaseAI | AI-assisted legal drafting prototype | Review with a qualified legal professional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