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olor w:val="1A1A1A"/>
          <w:sz w:val="56"/>
          <w:szCs w:val="56"/>
        </w:rPr>
        <w:t xml:space="preserve">ERP Frontend</w:t>
      </w:r>
    </w:p>
    <w:p>
      <w:pPr>
        <w:spacing w:after="400"/>
        <w:jc w:val="center"/>
      </w:pPr>
      <w:r>
        <w:rPr>
          <w:b/>
          <w:bCs/>
          <w:color w:val="B00020"/>
          <w:sz w:val="36"/>
          <w:szCs w:val="36"/>
        </w:rPr>
        <w:t xml:space="preserve">Code Quality &amp; Dead Code Analysis</w:t>
      </w:r>
    </w:p>
    <w:p>
      <w:pPr>
        <w:spacing w:after="100"/>
        <w:jc w:val="center"/>
      </w:pPr>
      <w:r>
        <w:rPr>
          <w:color w:val="555555"/>
          <w:sz w:val="22"/>
          <w:szCs w:val="22"/>
        </w:rPr>
        <w:t xml:space="preserve">Scope: frontend/ (React 19 + TypeScript, Vite)  |  Automated scan against the project’s Code Quality, Dead Code &amp; SonarQube standard</w:t>
      </w:r>
    </w:p>
    <w:p>
      <w:pPr>
        <w:spacing w:after="800"/>
        <w:jc w:val="center"/>
      </w:pPr>
      <w:r>
        <w:rPr>
          <w:color w:val="555555"/>
          <w:sz w:val="20"/>
          <w:szCs w:val="20"/>
        </w:rPr>
        <w:t xml:space="preserve">Prepared September 1,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tcMar>
              <w:top w:type="dxa" w:w="100"/>
              <w:left w:type="dxa" w:w="120"/>
              <w:bottom w:type="dxa" w:w="100"/>
              <w:right w:type="dxa" w:w="120"/>
            </w:tcMar>
          </w:tcPr>
          <w:p>
            <w:r>
              <w:rPr>
                <w:b w:val="false"/>
                <w:bCs w:val="false"/>
                <w:sz w:val="20"/>
                <w:szCs w:val="20"/>
              </w:rPr>
              <w:t xml:space="preserve">TS / TSX / JS / JSX files in src/</w:t>
            </w:r>
          </w:p>
        </w:tc>
        <w:tc>
          <w:tcPr>
            <w:tcW w:type="dxa" w:w="3000"/>
            <w:tcMar>
              <w:top w:type="dxa" w:w="100"/>
              <w:left w:type="dxa" w:w="120"/>
              <w:bottom w:type="dxa" w:w="100"/>
              <w:right w:type="dxa" w:w="120"/>
            </w:tcMar>
          </w:tcPr>
          <w:p>
            <w:r>
              <w:rPr>
                <w:b/>
                <w:bCs/>
                <w:color w:val="1A1A1A"/>
                <w:sz w:val="20"/>
                <w:szCs w:val="20"/>
              </w:rPr>
              <w:t xml:space="preserve">612</w:t>
            </w:r>
          </w:p>
        </w:tc>
      </w:tr>
      <w:tr>
        <w:tc>
          <w:tcPr>
            <w:tcW w:type="dxa" w:w="6000"/>
            <w:tcMar>
              <w:top w:type="dxa" w:w="100"/>
              <w:left w:type="dxa" w:w="120"/>
              <w:bottom w:type="dxa" w:w="100"/>
              <w:right w:type="dxa" w:w="120"/>
            </w:tcMar>
          </w:tcPr>
          <w:p>
            <w:r>
              <w:rPr>
                <w:b w:val="false"/>
                <w:bCs w:val="false"/>
                <w:sz w:val="20"/>
                <w:szCs w:val="20"/>
              </w:rPr>
              <w:t xml:space="preserve">Files successfully linted (full TS coverage, newly enabled)</w:t>
            </w:r>
          </w:p>
        </w:tc>
        <w:tc>
          <w:tcPr>
            <w:tcW w:type="dxa" w:w="3000"/>
            <w:tcMar>
              <w:top w:type="dxa" w:w="100"/>
              <w:left w:type="dxa" w:w="120"/>
              <w:bottom w:type="dxa" w:w="100"/>
              <w:right w:type="dxa" w:w="120"/>
            </w:tcMar>
          </w:tcPr>
          <w:p>
            <w:r>
              <w:rPr>
                <w:b/>
                <w:bCs/>
                <w:color w:val="1A1A1A"/>
                <w:sz w:val="20"/>
                <w:szCs w:val="20"/>
              </w:rPr>
              <w:t xml:space="preserve">583 / 612</w:t>
            </w:r>
          </w:p>
        </w:tc>
      </w:tr>
      <w:tr>
        <w:tc>
          <w:tcPr>
            <w:tcW w:type="dxa" w:w="6000"/>
            <w:tcMar>
              <w:top w:type="dxa" w:w="100"/>
              <w:left w:type="dxa" w:w="120"/>
              <w:bottom w:type="dxa" w:w="100"/>
              <w:right w:type="dxa" w:w="120"/>
            </w:tcMar>
          </w:tcPr>
          <w:p>
            <w:r>
              <w:rPr>
                <w:b w:val="false"/>
                <w:bCs w:val="false"/>
                <w:sz w:val="20"/>
                <w:szCs w:val="20"/>
              </w:rPr>
              <w:t xml:space="preserve">Unused variables / imports flagged</w:t>
            </w:r>
          </w:p>
        </w:tc>
        <w:tc>
          <w:tcPr>
            <w:tcW w:type="dxa" w:w="3000"/>
            <w:tcMar>
              <w:top w:type="dxa" w:w="100"/>
              <w:left w:type="dxa" w:w="120"/>
              <w:bottom w:type="dxa" w:w="100"/>
              <w:right w:type="dxa" w:w="120"/>
            </w:tcMar>
          </w:tcPr>
          <w:p>
            <w:r>
              <w:rPr>
                <w:b/>
                <w:bCs/>
                <w:color w:val="B00020"/>
                <w:sz w:val="20"/>
                <w:szCs w:val="20"/>
              </w:rPr>
              <w:t xml:space="preserve">370</w:t>
            </w:r>
          </w:p>
        </w:tc>
      </w:tr>
      <w:tr>
        <w:tc>
          <w:tcPr>
            <w:tcW w:type="dxa" w:w="6000"/>
            <w:tcMar>
              <w:top w:type="dxa" w:w="100"/>
              <w:left w:type="dxa" w:w="120"/>
              <w:bottom w:type="dxa" w:w="100"/>
              <w:right w:type="dxa" w:w="120"/>
            </w:tcMar>
          </w:tcPr>
          <w:p>
            <w:r>
              <w:rPr>
                <w:b w:val="false"/>
                <w:bCs w:val="false"/>
                <w:sz w:val="20"/>
                <w:szCs w:val="20"/>
              </w:rPr>
              <w:t xml:space="preserve">Real React correctness bugs found (rules-of-hooks, purity, etc.)</w:t>
            </w:r>
          </w:p>
        </w:tc>
        <w:tc>
          <w:tcPr>
            <w:tcW w:type="dxa" w:w="3000"/>
            <w:tcMar>
              <w:top w:type="dxa" w:w="100"/>
              <w:left w:type="dxa" w:w="120"/>
              <w:bottom w:type="dxa" w:w="100"/>
              <w:right w:type="dxa" w:w="120"/>
            </w:tcMar>
          </w:tcPr>
          <w:p>
            <w:r>
              <w:rPr>
                <w:b/>
                <w:bCs/>
                <w:color w:val="B00020"/>
                <w:sz w:val="20"/>
                <w:szCs w:val="20"/>
              </w:rPr>
              <w:t xml:space="preserve">104</w:t>
            </w:r>
          </w:p>
        </w:tc>
      </w:tr>
      <w:tr>
        <w:tc>
          <w:tcPr>
            <w:tcW w:type="dxa" w:w="6000"/>
            <w:tcMar>
              <w:top w:type="dxa" w:w="100"/>
              <w:left w:type="dxa" w:w="120"/>
              <w:bottom w:type="dxa" w:w="100"/>
              <w:right w:type="dxa" w:w="120"/>
            </w:tcMar>
          </w:tcPr>
          <w:p>
            <w:r>
              <w:rPr>
                <w:b w:val="false"/>
                <w:bCs w:val="false"/>
                <w:sz w:val="20"/>
                <w:szCs w:val="20"/>
              </w:rPr>
              <w:t xml:space="preserve">Files with zero references anywhere — dead-code candidates</w:t>
            </w:r>
          </w:p>
        </w:tc>
        <w:tc>
          <w:tcPr>
            <w:tcW w:type="dxa" w:w="3000"/>
            <w:tcMar>
              <w:top w:type="dxa" w:w="100"/>
              <w:left w:type="dxa" w:w="120"/>
              <w:bottom w:type="dxa" w:w="100"/>
              <w:right w:type="dxa" w:w="120"/>
            </w:tcMar>
          </w:tcPr>
          <w:p>
            <w:r>
              <w:rPr>
                <w:b/>
                <w:bCs/>
                <w:color w:val="B00020"/>
                <w:sz w:val="20"/>
                <w:szCs w:val="20"/>
              </w:rPr>
              <w:t xml:space="preserve">72</w:t>
            </w:r>
          </w:p>
        </w:tc>
      </w:tr>
      <w:tr>
        <w:tc>
          <w:tcPr>
            <w:tcW w:type="dxa" w:w="6000"/>
            <w:tcMar>
              <w:top w:type="dxa" w:w="100"/>
              <w:left w:type="dxa" w:w="120"/>
              <w:bottom w:type="dxa" w:w="100"/>
              <w:right w:type="dxa" w:w="120"/>
            </w:tcMar>
          </w:tcPr>
          <w:p>
            <w:r>
              <w:rPr>
                <w:b w:val="false"/>
                <w:bCs w:val="false"/>
                <w:sz w:val="20"/>
                <w:szCs w:val="20"/>
              </w:rPr>
              <w:t xml:space="preserve">Duplicate / stale files removed this session</w:t>
            </w:r>
          </w:p>
        </w:tc>
        <w:tc>
          <w:tcPr>
            <w:tcW w:type="dxa" w:w="3000"/>
            <w:tcMar>
              <w:top w:type="dxa" w:w="100"/>
              <w:left w:type="dxa" w:w="120"/>
              <w:bottom w:type="dxa" w:w="100"/>
              <w:right w:type="dxa" w:w="120"/>
            </w:tcMar>
          </w:tcPr>
          <w:p>
            <w:r>
              <w:rPr>
                <w:b/>
                <w:bCs/>
                <w:color w:val="1A1A1A"/>
                <w:sz w:val="20"/>
                <w:szCs w:val="20"/>
              </w:rPr>
              <w:t xml:space="preserve">6</w:t>
            </w:r>
          </w:p>
        </w:tc>
      </w:tr>
    </w:tbl>
    <w:p>
      <w:r>
        <w:br w:type="page"/>
      </w:r>
    </w:p>
    <w:p>
      <w:pPr>
        <w:pStyle w:val="Heading1"/>
        <w:spacing w:after="200" w:before="400"/>
      </w:pPr>
      <w:r>
        <w:t xml:space="preserve">1. Executive Summary</w:t>
      </w:r>
    </w:p>
    <w:p>
      <w:pPr>
        <w:spacing w:after="120"/>
      </w:pPr>
      <w:r>
        <w:t xml:space="preserve">The frontend codebase (612 TypeScript/JavaScript source files) was reviewed against the project’s Code Quality, Dead Code Removal &amp; SonarQube Standards using an automated scan: a corrected, full-coverage ESLint pass, a static import-graph reachability analysis to find orphaned files, and targeted searches for duplication, magic strings, and dead-code patterns. Where a finding could be fixed mechanically and verified as safe, it was fixed in this session; everything else is catalogued below with file:line references so the team can action it.</w:t>
      </w:r>
    </w:p>
    <w:p>
      <w:pPr>
        <w:spacing w:after="120"/>
      </w:pPr>
      <w:r>
        <w:rPr>
          <w:b/>
          <w:bCs/>
        </w:rPr>
        <w:t xml:space="preserve">The single most important finding is not a style issue: ESLint’s own configuration in this repo was broken, and separately was only ever checking 6 of the project’s 612 source files.</w:t>
      </w:r>
    </w:p>
    <w:p>
      <w:pPr>
        <w:pStyle w:val="ListParagraph"/>
        <w:numPr>
          <w:ilvl w:val="0"/>
          <w:numId w:val="1"/>
        </w:numPr>
        <w:spacing w:after="80"/>
      </w:pPr>
      <w:r>
        <w:t xml:space="preserve">eslint.config.js referenced an old, non-flat-config shape from eslint-plugin-react-hooks, which made `npm run lint` crash outright with a config error — lint has not been running successfully at all.</w:t>
      </w:r>
    </w:p>
    <w:p>
      <w:pPr>
        <w:pStyle w:val="ListParagraph"/>
        <w:numPr>
          <w:ilvl w:val="0"/>
          <w:numId w:val="1"/>
        </w:numPr>
        <w:spacing w:after="80"/>
      </w:pPr>
      <w:r>
        <w:t xml:space="preserve">Even once that crash is fixed, the file-matching pattern was `**/*.{js,jsx}` — but 606 of the 612 source files are `.ts`/`.tsx`. TypeScript files — essentially the whole app — were never linted.</w:t>
      </w:r>
    </w:p>
    <w:p>
      <w:pPr>
        <w:spacing w:after="120"/>
      </w:pPr>
      <w:r>
        <w:t xml:space="preserve">Both are fixed in this session (Section 3). Re-running ESLint with the corrected config for the first time surfaced real, previously-invisible issues, including 16 React "rules of hooks" violations in App.tsx and Sidebar.tsx — the classic bug pattern of calling hooks after an early `return`, which can crash the app with "Rendered more hooks than during the previous render" when navigating between certain views.</w:t>
      </w:r>
    </w:p>
    <w:p>
      <w:pPr>
        <w:spacing w:after="120"/>
      </w:pPr>
      <w:r>
        <w:t xml:space="preserve">Because the project’s full TypeScript build (`tsc --noEmit`) could not complete within this session’s tool time limits (Section 2), code-level fixes beyond mechanical, ESLint-verified ones were left as documented recommendations rather than applied blind. Section 3 lists exactly what changed; Sections 4–8 list what still needs a developer’s attention, in priority order.</w:t>
      </w:r>
    </w:p>
    <w:p>
      <w:pPr>
        <w:pStyle w:val="Heading1"/>
        <w:spacing w:after="200" w:before="400"/>
      </w:pPr>
      <w:r>
        <w:t xml:space="preserve">2. Scope &amp; Methodology</w:t>
      </w:r>
    </w:p>
    <w:p>
      <w:pPr>
        <w:spacing w:after="100"/>
      </w:pPr>
      <w:r>
        <w:rPr>
          <w:b/>
          <w:bCs/>
        </w:rPr>
        <w:t xml:space="preserve">Scope: </w:t>
      </w:r>
      <w:r>
        <w:t xml:space="preserve">frontend/ only, by agreement — backend/ was not reviewed in this pass.</w:t>
      </w:r>
    </w:p>
    <w:p>
      <w:pPr>
        <w:spacing w:after="100"/>
      </w:pPr>
      <w:r>
        <w:rPr>
          <w:b/>
          <w:bCs/>
        </w:rPr>
        <w:t xml:space="preserve">Depth: </w:t>
      </w:r>
      <w:r>
        <w:t xml:space="preserve">Automated scan: ESLint, static import-graph analysis, pattern search — not a line-by-line manual review.</w:t>
      </w:r>
    </w:p>
    <w:p>
      <w:pPr>
        <w:pStyle w:val="Heading2"/>
        <w:spacing w:after="150" w:before="300"/>
      </w:pPr>
      <w:r>
        <w:t xml:space="preserve">Tools used</w:t>
      </w:r>
    </w:p>
    <w:p>
      <w:pPr>
        <w:pStyle w:val="ListParagraph"/>
        <w:numPr>
          <w:ilvl w:val="0"/>
          <w:numId w:val="1"/>
        </w:numPr>
        <w:spacing w:after="80"/>
      </w:pPr>
      <w:r>
        <w:t xml:space="preserve">ESLint 9 (flat config) with typescript-eslint, eslint-plugin-react-hooks 7 and eslint-plugin-react-refresh, run against the corrected config across all of src/.</w:t>
      </w:r>
    </w:p>
    <w:p>
      <w:pPr>
        <w:pStyle w:val="ListParagraph"/>
        <w:numPr>
          <w:ilvl w:val="0"/>
          <w:numId w:val="1"/>
        </w:numPr>
        <w:spacing w:after="80"/>
      </w:pPr>
      <w:r>
        <w:t xml:space="preserve">A custom static import-graph script (Python) starting from src/main.tsx and src/App.tsx, resolving relative imports, `@/` path-alias imports, and both static and dynamic `import()` calls, to find files nothing else references.</w:t>
      </w:r>
    </w:p>
    <w:p>
      <w:pPr>
        <w:pStyle w:val="ListParagraph"/>
        <w:numPr>
          <w:ilvl w:val="0"/>
          <w:numId w:val="1"/>
        </w:numPr>
        <w:spacing w:after="80"/>
      </w:pPr>
      <w:r>
        <w:t xml:space="preserve">Targeted searches for commented-out code, console.log/debugger statements, TODO/FIXME markers, empty catch blocks, and duplicated formatting logic (dates, currency, status strings).</w:t>
      </w:r>
    </w:p>
    <w:p>
      <w:pPr>
        <w:pStyle w:val="Heading2"/>
        <w:spacing w:after="150" w:before="300"/>
      </w:pPr>
      <w:r>
        <w:t xml:space="preserve">A note on environment constraints</w:t>
      </w:r>
    </w:p>
    <w:p>
      <w:pPr>
        <w:spacing w:after="120"/>
      </w:pPr>
      <w:r>
        <w:t xml:space="preserve">This review ran in a sandboxed environment where the project folder is a network-mounted drive; large directory-wide operations were slow enough to hit the session’s per-command time limit. A full `tsc --noEmit` type-check did not complete, and neither did `vite build`. ESLint was made to work by invoking it directly and batching files by top-level directory, which did complete successfully. Practically, this means:</w:t>
      </w:r>
    </w:p>
    <w:p>
      <w:pPr>
        <w:pStyle w:val="ListParagraph"/>
        <w:numPr>
          <w:ilvl w:val="0"/>
          <w:numId w:val="1"/>
        </w:numPr>
        <w:spacing w:after="80"/>
      </w:pPr>
      <w:r>
        <w:t xml:space="preserve">The 370 unused-variable/import findings and the React-hooks findings below come from a real, completed ESLint run and can be trusted.</w:t>
      </w:r>
    </w:p>
    <w:p>
      <w:pPr>
        <w:pStyle w:val="ListParagraph"/>
        <w:numPr>
          <w:ilvl w:val="0"/>
          <w:numId w:val="1"/>
        </w:numPr>
        <w:spacing w:after="80"/>
      </w:pPr>
      <w:r>
        <w:rPr>
          <w:b/>
          <w:bCs/>
        </w:rPr>
        <w:t xml:space="preserve">The project has NOT been re-verified with a full TypeScript compile or production build after this session’s changes. Please run `npm run build` locally before merging anything from this report.</w:t>
      </w:r>
    </w:p>
    <w:p>
      <w:pPr>
        <w:pStyle w:val="Heading1"/>
        <w:spacing w:after="200" w:before="400"/>
      </w:pPr>
      <w:r>
        <w:t xml:space="preserve">3. Fixes Applied in This Session</w:t>
      </w:r>
    </w:p>
    <w:p>
      <w:pPr>
        <w:spacing w:after="120"/>
      </w:pPr>
      <w:r>
        <w:t xml:space="preserve">Only changes that were mechanical and independently verifiable were applied directly.</w:t>
      </w:r>
    </w:p>
    <w:p>
      <w:pPr>
        <w:pStyle w:val="Heading2"/>
        <w:spacing w:after="150" w:before="300"/>
      </w:pPr>
      <w:r>
        <w:t xml:space="preserve">3.1 Fixed frontend/eslint.config.js</w:t>
      </w:r>
    </w:p>
    <w:p>
      <w:pPr>
        <w:pStyle w:val="ListParagraph"/>
        <w:numPr>
          <w:ilvl w:val="0"/>
          <w:numId w:val="1"/>
        </w:numPr>
        <w:spacing w:after="80"/>
      </w:pPr>
      <w:r>
        <w:t xml:space="preserve">Corrected `reactHooks.configs['recommended-latest']` → `reactHooks.configs.flat['recommended-latest']`. The former is eslint-plugin-react-hooks’ legacy (eslintrc-style) config object — its `plugins` field is an array of strings, which ESLint’s flat-config `extends` rejects outright. This is why `npm run lint` was crashing.</w:t>
      </w:r>
    </w:p>
    <w:p>
      <w:pPr>
        <w:pStyle w:val="ListParagraph"/>
        <w:numPr>
          <w:ilvl w:val="0"/>
          <w:numId w:val="1"/>
        </w:numPr>
        <w:spacing w:after="80"/>
      </w:pPr>
      <w:r>
        <w:t xml:space="preserve">Expanded the `files` glob from `**/*.{js,jsx}` to `**/*.{js,jsx,ts,tsx}` and added typescript-eslint’s recommended rules, so the 606 TypeScript files in the project are linted for the first time.</w:t>
      </w:r>
    </w:p>
    <w:p>
      <w:pPr>
        <w:pStyle w:val="ListParagraph"/>
        <w:numPr>
          <w:ilvl w:val="0"/>
          <w:numId w:val="1"/>
        </w:numPr>
        <w:spacing w:after="80"/>
      </w:pPr>
      <w:r>
        <w:t xml:space="preserve">Switched `no-unused-vars` off in favor of `@typescript-eslint/no-unused-vars`, the TS-aware equivalent now needed since TS files are linted.</w:t>
      </w:r>
    </w:p>
    <w:p>
      <w:pPr>
        <w:pStyle w:val="Heading2"/>
        <w:spacing w:after="150" w:before="300"/>
      </w:pPr>
      <w:r>
        <w:t xml:space="preserve">3.2 Ran `eslint --fix` across src/</w:t>
      </w:r>
    </w:p>
    <w:p>
      <w:pPr>
        <w:spacing w:after="120"/>
      </w:pPr>
      <w:r>
        <w:t xml:space="preserve">This applies only changes ESLint considers 100% safe — e.g. rewriting `let` to `const` where a variable is never reassigned, and removing stale `eslint-disable` comments that no longer suppress anything. It does not remove unused imports/variables; that rule is intentionally not auto-fixable and needs human judgement (Section 4.1).</w:t>
      </w:r>
    </w:p>
    <w:p>
      <w:pPr>
        <w:pStyle w:val="Heading2"/>
        <w:spacing w:after="150" w:before="300"/>
      </w:pPr>
      <w:r>
        <w:t xml:space="preserve">3.3 Removed 6 dead 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2B2B2B" w:val="clear"/>
            <w:tcMar>
              <w:top w:type="dxa" w:w="80"/>
              <w:left w:type="dxa" w:w="100"/>
              <w:bottom w:type="dxa" w:w="80"/>
              <w:right w:type="dxa" w:w="100"/>
            </w:tcMar>
          </w:tcPr>
          <w:p>
            <w:r>
              <w:rPr>
                <w:b/>
                <w:bCs/>
                <w:color w:val="FFFFFF"/>
                <w:sz w:val="18"/>
                <w:szCs w:val="18"/>
              </w:rPr>
              <w:t xml:space="preserve">File</w:t>
            </w:r>
          </w:p>
        </w:tc>
        <w:tc>
          <w:tcPr>
            <w:tcW w:type="dxa" w:w="4800"/>
            <w:shd w:fill="2B2B2B" w:val="clear"/>
            <w:tcMar>
              <w:top w:type="dxa" w:w="80"/>
              <w:left w:type="dxa" w:w="100"/>
              <w:bottom w:type="dxa" w:w="80"/>
              <w:right w:type="dxa" w:w="100"/>
            </w:tcMar>
          </w:tcPr>
          <w:p>
            <w:r>
              <w:rPr>
                <w:b/>
                <w:bCs/>
                <w:color w:val="FFFFFF"/>
                <w:sz w:val="18"/>
                <w:szCs w:val="18"/>
              </w:rPr>
              <w:t xml:space="preserve">Reason</w:t>
            </w:r>
          </w:p>
        </w:tc>
      </w:tr>
      <w:tr>
        <w:tc>
          <w:tcPr>
            <w:tcW w:type="dxa" w:w="4200"/>
            <w:shd w:fill="FFFFFF" w:val="clear"/>
            <w:tcMar>
              <w:top w:type="dxa" w:w="60"/>
              <w:left w:type="dxa" w:w="100"/>
              <w:bottom w:type="dxa" w:w="60"/>
              <w:right w:type="dxa" w:w="100"/>
            </w:tcMar>
          </w:tcPr>
          <w:p>
            <w:r>
              <w:rPr>
                <w:sz w:val="18"/>
                <w:szCs w:val="18"/>
              </w:rPr>
              <w:t xml:space="preserve">src/data/constants copy.ts</w:t>
            </w:r>
          </w:p>
        </w:tc>
        <w:tc>
          <w:tcPr>
            <w:tcW w:type="dxa" w:w="4800"/>
            <w:shd w:fill="FFFFFF" w:val="clear"/>
            <w:tcMar>
              <w:top w:type="dxa" w:w="60"/>
              <w:left w:type="dxa" w:w="100"/>
              <w:bottom w:type="dxa" w:w="60"/>
              <w:right w:type="dxa" w:w="100"/>
            </w:tcMar>
          </w:tcPr>
          <w:p>
            <w:r>
              <w:rPr>
                <w:sz w:val="18"/>
                <w:szCs w:val="18"/>
              </w:rPr>
              <w:t xml:space="preserve">Byte-identical duplicate of constants.ts</w:t>
            </w:r>
          </w:p>
        </w:tc>
      </w:tr>
      <w:tr>
        <w:tc>
          <w:tcPr>
            <w:tcW w:type="dxa" w:w="4200"/>
            <w:shd w:fill="F5F5F5" w:val="clear"/>
            <w:tcMar>
              <w:top w:type="dxa" w:w="60"/>
              <w:left w:type="dxa" w:w="100"/>
              <w:bottom w:type="dxa" w:w="60"/>
              <w:right w:type="dxa" w:w="100"/>
            </w:tcMar>
          </w:tcPr>
          <w:p>
            <w:r>
              <w:rPr>
                <w:sz w:val="18"/>
                <w:szCs w:val="18"/>
              </w:rPr>
              <w:t xml:space="preserve">src/data/factories copy.ts</w:t>
            </w:r>
          </w:p>
        </w:tc>
        <w:tc>
          <w:tcPr>
            <w:tcW w:type="dxa" w:w="4800"/>
            <w:shd w:fill="F5F5F5" w:val="clear"/>
            <w:tcMar>
              <w:top w:type="dxa" w:w="60"/>
              <w:left w:type="dxa" w:w="100"/>
              <w:bottom w:type="dxa" w:w="60"/>
              <w:right w:type="dxa" w:w="100"/>
            </w:tcMar>
          </w:tcPr>
          <w:p>
            <w:r>
              <w:rPr>
                <w:sz w:val="18"/>
                <w:szCs w:val="18"/>
              </w:rPr>
              <w:t xml:space="preserve">Byte-identical duplicate of factories.ts</w:t>
            </w:r>
          </w:p>
        </w:tc>
      </w:tr>
      <w:tr>
        <w:tc>
          <w:tcPr>
            <w:tcW w:type="dxa" w:w="4200"/>
            <w:shd w:fill="FFFFFF" w:val="clear"/>
            <w:tcMar>
              <w:top w:type="dxa" w:w="60"/>
              <w:left w:type="dxa" w:w="100"/>
              <w:bottom w:type="dxa" w:w="60"/>
              <w:right w:type="dxa" w:w="100"/>
            </w:tcMar>
          </w:tcPr>
          <w:p>
            <w:r>
              <w:rPr>
                <w:sz w:val="18"/>
                <w:szCs w:val="18"/>
              </w:rPr>
              <w:t xml:space="preserve">src/data/plans copy.ts</w:t>
            </w:r>
          </w:p>
        </w:tc>
        <w:tc>
          <w:tcPr>
            <w:tcW w:type="dxa" w:w="4800"/>
            <w:shd w:fill="FFFFFF" w:val="clear"/>
            <w:tcMar>
              <w:top w:type="dxa" w:w="60"/>
              <w:left w:type="dxa" w:w="100"/>
              <w:bottom w:type="dxa" w:w="60"/>
              <w:right w:type="dxa" w:w="100"/>
            </w:tcMar>
          </w:tcPr>
          <w:p>
            <w:r>
              <w:rPr>
                <w:sz w:val="18"/>
                <w:szCs w:val="18"/>
              </w:rPr>
              <w:t xml:space="preserve">Byte-identical duplicate of plans.ts</w:t>
            </w:r>
          </w:p>
        </w:tc>
      </w:tr>
      <w:tr>
        <w:tc>
          <w:tcPr>
            <w:tcW w:type="dxa" w:w="4200"/>
            <w:shd w:fill="F5F5F5" w:val="clear"/>
            <w:tcMar>
              <w:top w:type="dxa" w:w="60"/>
              <w:left w:type="dxa" w:w="100"/>
              <w:bottom w:type="dxa" w:w="60"/>
              <w:right w:type="dxa" w:w="100"/>
            </w:tcMar>
          </w:tcPr>
          <w:p>
            <w:r>
              <w:rPr>
                <w:sz w:val="18"/>
                <w:szCs w:val="18"/>
              </w:rPr>
              <w:t xml:space="preserve">src/data/seedData copy.ts</w:t>
            </w:r>
          </w:p>
        </w:tc>
        <w:tc>
          <w:tcPr>
            <w:tcW w:type="dxa" w:w="4800"/>
            <w:shd w:fill="F5F5F5" w:val="clear"/>
            <w:tcMar>
              <w:top w:type="dxa" w:w="60"/>
              <w:left w:type="dxa" w:w="100"/>
              <w:bottom w:type="dxa" w:w="60"/>
              <w:right w:type="dxa" w:w="100"/>
            </w:tcMar>
          </w:tcPr>
          <w:p>
            <w:r>
              <w:rPr>
                <w:sz w:val="18"/>
                <w:szCs w:val="18"/>
              </w:rPr>
              <w:t xml:space="preserve">Byte-identical duplicate of seedData.ts</w:t>
            </w:r>
          </w:p>
        </w:tc>
      </w:tr>
      <w:tr>
        <w:tc>
          <w:tcPr>
            <w:tcW w:type="dxa" w:w="4200"/>
            <w:shd w:fill="FFFFFF" w:val="clear"/>
            <w:tcMar>
              <w:top w:type="dxa" w:w="60"/>
              <w:left w:type="dxa" w:w="100"/>
              <w:bottom w:type="dxa" w:w="60"/>
              <w:right w:type="dxa" w:w="100"/>
            </w:tcMar>
          </w:tcPr>
          <w:p>
            <w:r>
              <w:rPr>
                <w:sz w:val="18"/>
                <w:szCs w:val="18"/>
              </w:rPr>
              <w:t xml:space="preserve">src/data/metadata/all_files.json</w:t>
            </w:r>
          </w:p>
        </w:tc>
        <w:tc>
          <w:tcPr>
            <w:tcW w:type="dxa" w:w="4800"/>
            <w:shd w:fill="FFFFFF" w:val="clear"/>
            <w:tcMar>
              <w:top w:type="dxa" w:w="60"/>
              <w:left w:type="dxa" w:w="100"/>
              <w:bottom w:type="dxa" w:w="60"/>
              <w:right w:type="dxa" w:w="100"/>
            </w:tcMar>
          </w:tcPr>
          <w:p>
            <w:r>
              <w:rPr>
                <w:sz w:val="18"/>
                <w:szCs w:val="18"/>
              </w:rPr>
              <w:t xml:space="preserve">Stale file-listing dump (112 KB), referenced nowhere, old directory paths</w:t>
            </w:r>
          </w:p>
        </w:tc>
      </w:tr>
      <w:tr>
        <w:tc>
          <w:tcPr>
            <w:tcW w:type="dxa" w:w="4200"/>
            <w:shd w:fill="F5F5F5" w:val="clear"/>
            <w:tcMar>
              <w:top w:type="dxa" w:w="60"/>
              <w:left w:type="dxa" w:w="100"/>
              <w:bottom w:type="dxa" w:w="60"/>
              <w:right w:type="dxa" w:w="100"/>
            </w:tcMar>
          </w:tcPr>
          <w:p>
            <w:r>
              <w:rPr>
                <w:sz w:val="18"/>
                <w:szCs w:val="18"/>
              </w:rPr>
              <w:t xml:space="preserve">src/data/metadata/all_files_utf8.json</w:t>
            </w:r>
          </w:p>
        </w:tc>
        <w:tc>
          <w:tcPr>
            <w:tcW w:type="dxa" w:w="4800"/>
            <w:shd w:fill="F5F5F5" w:val="clear"/>
            <w:tcMar>
              <w:top w:type="dxa" w:w="60"/>
              <w:left w:type="dxa" w:w="100"/>
              <w:bottom w:type="dxa" w:w="60"/>
              <w:right w:type="dxa" w:w="100"/>
            </w:tcMar>
          </w:tcPr>
          <w:p>
            <w:r>
              <w:rPr>
                <w:sz w:val="18"/>
                <w:szCs w:val="18"/>
              </w:rPr>
              <w:t xml:space="preserve">Same dump, UTF-8 variant (56 KB), referenced nowhere</w:t>
            </w:r>
          </w:p>
        </w:tc>
      </w:tr>
    </w:tbl>
    <w:p>
      <w:pPr>
        <w:spacing w:after="120"/>
      </w:pPr>
      <w:r>
        <w:rPr>
          <w:color w:val="555555"/>
          <w:sz w:val="20"/>
          <w:szCs w:val="20"/>
        </w:rPr>
        <w:t xml:space="preserve">Verified safe by diffing byte-for-byte against their originals (the four "copy" files) and by confirming zero references anywhere in the codebase (all six).</w:t>
      </w:r>
    </w:p>
    <w:p>
      <w:pPr>
        <w:pStyle w:val="Heading2"/>
        <w:spacing w:after="150" w:before="300"/>
      </w:pPr>
      <w:r>
        <w:t xml:space="preserve">3.4 Deliberately not changed</w:t>
      </w:r>
    </w:p>
    <w:p>
      <w:pPr>
        <w:spacing w:after="120"/>
      </w:pPr>
      <w:r>
        <w:t xml:space="preserve">370 unused-import/variable warnings, 104 React-hooks correctness findings, and 166 candidate orphan files were left untouched. With no way to compile or run the app in this sandbox to verify a change didn’t break anything, bulk-editing 150+ files or restructuring a core file like App.tsx was judged too risky to do blind. They’re documented in full below for a developer to action with a working local build.</w:t>
      </w:r>
    </w:p>
    <w:p>
      <w:pPr>
        <w:pStyle w:val="Heading1"/>
        <w:spacing w:after="200" w:before="400"/>
      </w:pPr>
      <w:r>
        <w:t xml:space="preserve">4. Critical: React Correctness Bugs</w:t>
      </w:r>
    </w:p>
    <w:p>
      <w:pPr>
        <w:spacing w:after="120"/>
      </w:pPr>
      <w:r>
        <w:rPr>
          <w:b/>
          <w:bCs/>
          <w:color w:val="B00020"/>
        </w:rPr>
        <w:t xml:space="preserve">These are not style preferences — they are patterns React itself documents as unsafe, now caught because ESLint finally covers the TypeScript codebase (Section 3.1). Fix these first.</w:t>
      </w:r>
    </w:p>
    <w:p>
      <w:pPr>
        <w:pStyle w:val="Heading2"/>
        <w:spacing w:after="150" w:before="300"/>
      </w:pPr>
      <w:r>
        <w:t xml:space="preserve">4.1 Hooks called conditionally — App.tsx (16 violations) and Sidebar.tsx (1)</w:t>
      </w:r>
    </w:p>
    <w:p>
      <w:pPr>
        <w:spacing w:after="120"/>
      </w:pPr>
      <w:r>
        <w:t xml:space="preserve">src/App.tsx has an early return at line 44–46:</w:t>
      </w:r>
    </w:p>
    <w:p>
      <w:pPr>
        <w:shd w:fill="F0F0F0" w:val="clear"/>
        <w:spacing w:after="0"/>
      </w:pPr>
      <w:r>
        <w:rPr>
          <w:rFonts w:ascii="Consolas" w:cs="Consolas" w:eastAsia="Consolas" w:hAnsi="Consolas"/>
          <w:color w:val="333333"/>
          <w:sz w:val="18"/>
          <w:szCs w:val="18"/>
        </w:rPr>
        <w:t xml:space="preserve">if (mode === 'customer_display') {</w:t>
      </w:r>
    </w:p>
    <w:p>
      <w:pPr>
        <w:shd w:fill="F0F0F0" w:val="clear"/>
        <w:spacing w:after="0"/>
      </w:pPr>
      <w:r>
        <w:rPr>
          <w:rFonts w:ascii="Consolas" w:cs="Consolas" w:eastAsia="Consolas" w:hAnsi="Consolas"/>
          <w:color w:val="333333"/>
          <w:sz w:val="18"/>
          <w:szCs w:val="18"/>
        </w:rPr>
        <w:t xml:space="preserve">  return &lt;POSCustomerDisplay /&gt;;</w:t>
      </w:r>
    </w:p>
    <w:p>
      <w:pPr>
        <w:shd w:fill="F0F0F0" w:val="clear"/>
        <w:spacing w:after="80"/>
      </w:pPr>
      <w:r>
        <w:rPr>
          <w:rFonts w:ascii="Consolas" w:cs="Consolas" w:eastAsia="Consolas" w:hAnsi="Consolas"/>
          <w:color w:val="333333"/>
          <w:sz w:val="18"/>
          <w:szCs w:val="18"/>
        </w:rPr>
        <w:t xml:space="preserve">}</w:t>
      </w:r>
    </w:p>
    <w:p>
      <w:pPr>
        <w:spacing w:after="120"/>
      </w:pPr>
      <w:r>
        <w:t xml:space="preserve">...followed by 16 more hook calls (useDBDataSync, useState ×5, useSelector ×3, useRef, useEffect ×6) on lines 49–180+. React requires every hook to run in the same order on every render. When `mode === 'customer_display'`, the component returns before those hooks ever run; on any other render they do. This is the exact bug pattern that produces "Rendered more hooks than during the previous render" crashes — a real risk any time a user’s URL/session toggles that mode. The fix is to move the early-return check to after all hooks are declared, immediately before the final render/return. src/components/shared/Layout/Sidebar.tsx:225 has the same pattern with `useConfig`.</w:t>
      </w:r>
    </w:p>
    <w:p>
      <w:pPr>
        <w:pStyle w:val="Heading2"/>
        <w:spacing w:after="150" w:before="300"/>
      </w:pPr>
      <w:r>
        <w:t xml:space="preserve">4.2 setState called synchronously inside an effect — 28 occurrences</w:t>
      </w:r>
    </w:p>
    <w:p>
      <w:pPr>
        <w:spacing w:after="120"/>
      </w:pPr>
      <w:r>
        <w:t xml:space="preserve">Flagged by react-hooks/set-state-in-effect: calling setState synchronously within a useEffect can trigger cascading re-renders. Examples: src/pages/Business/GoogleBusiness.tsx:39, src/pages/Business/MetaCallback.tsx:17, src/pages/Commercial/Items/EditItem.tsx:42, plus 25 more (full list in Appendix A.2).</w:t>
      </w:r>
    </w:p>
    <w:p>
      <w:pPr>
        <w:pStyle w:val="Heading2"/>
        <w:spacing w:after="150" w:before="300"/>
      </w:pPr>
      <w:r>
        <w:t xml:space="preserve">4.3 Impure functions called during render — 17 occurrences</w:t>
      </w:r>
    </w:p>
    <w:p>
      <w:pPr>
        <w:spacing w:after="120"/>
      </w:pPr>
      <w:r>
        <w:t xml:space="preserve">Flagged by react-hooks/purity: calling Math.random() or Date.now() directly in a component body (not inside an effect/handler) produces a different value on every render, which breaks React’s ability to safely reuse a render. Examples: src/pages/Dashboard/Dashboard.tsx:276 (Math.random), src/pages/Expenses/Expenses.jsx:19 (Date.now), src/pages/People/Employees/AllowanceManagerMockUI.tsx:25 (Math.random), plus 14 more.</w:t>
      </w:r>
    </w:p>
    <w:p>
      <w:pPr>
        <w:pStyle w:val="Heading2"/>
        <w:spacing w:after="150" w:before="300"/>
      </w:pPr>
      <w:r>
        <w:t xml:space="preserve">4.4 Components defined inside another component’s render — 36 occurrences</w:t>
      </w:r>
    </w:p>
    <w:p>
      <w:pPr>
        <w:spacing w:after="120"/>
      </w:pPr>
      <w:r>
        <w:t xml:space="preserve">Flagged by react-hooks/static-components: a component declared inside another component’s function body is recreated on every render, so it loses all of its internal state each time and forces an unnecessary remount of its subtree. Heaviest single file: src/pages/Financial/Cashbank/CashBankPosition.tsx (lines 191, 197, 203, and more). Move nested component definitions to module scope.</w:t>
      </w:r>
    </w:p>
    <w:p>
      <w:pPr>
        <w:pStyle w:val="Heading2"/>
        <w:spacing w:after="150" w:before="300"/>
      </w:pPr>
      <w:r>
        <w:t xml:space="preserve">4.5 Smaller correctness findings</w:t>
      </w:r>
    </w:p>
    <w:p>
      <w:pPr>
        <w:pStyle w:val="ListParagraph"/>
        <w:numPr>
          <w:ilvl w:val="0"/>
          <w:numId w:val="1"/>
        </w:numPr>
        <w:spacing w:after="80"/>
      </w:pPr>
      <w:r>
        <w:t xml:space="preserve">react-hooks/rules-of-hooks aside, react-hooks/immutability (7): e.g. src/pages/Pos/POSCartGrid.tsx:80,112 mutates a prop/hook argument directly instead of using a local variable.</w:t>
      </w:r>
    </w:p>
    <w:p>
      <w:pPr>
        <w:pStyle w:val="ListParagraph"/>
        <w:numPr>
          <w:ilvl w:val="0"/>
          <w:numId w:val="1"/>
        </w:numPr>
        <w:spacing w:after="80"/>
      </w:pPr>
      <w:r>
        <w:t xml:space="preserve">react-hooks/refs (5): src/pages/auth/SecurePasswordInput.tsx:103–105 reads a ref’s `.current` during render, which is unsafe — refs should only be read in effects/handlers.</w:t>
      </w:r>
    </w:p>
    <w:p>
      <w:pPr>
        <w:pStyle w:val="ListParagraph"/>
        <w:numPr>
          <w:ilvl w:val="0"/>
          <w:numId w:val="1"/>
        </w:numPr>
        <w:spacing w:after="80"/>
      </w:pPr>
      <w:r>
        <w:t xml:space="preserve">react-hooks/exhaustive-deps (62 warnings): dependency arrays that don’t match what a hook actually reads — the most common source of stale-closure bugs. Not itemized here; run `npm run lint` after the Section 3 fixes to see the full list with file:line.</w:t>
      </w:r>
    </w:p>
    <w:p>
      <w:pPr>
        <w:pStyle w:val="ListParagraph"/>
        <w:numPr>
          <w:ilvl w:val="0"/>
          <w:numId w:val="1"/>
        </w:numPr>
        <w:spacing w:after="80"/>
      </w:pPr>
      <w:r>
        <w:t xml:space="preserve">react-refresh/only-export-components (5): files that mix component exports with constants/helper exports, which breaks Vite’s Fast Refresh for that file (e.g. src/pages/Pos/POSReturnsIntelligence.tsx:72,89 and src/components/core/Feedback/FeedbackContext.tsx:146). Split the non-component exports into a separate file.</w:t>
      </w:r>
    </w:p>
    <w:p>
      <w:pPr>
        <w:pStyle w:val="Heading1"/>
        <w:spacing w:after="200" w:before="400"/>
      </w:pPr>
      <w:r>
        <w:t xml:space="preserve">5. Dead Code</w:t>
      </w:r>
    </w:p>
    <w:p>
      <w:pPr>
        <w:pStyle w:val="Heading2"/>
        <w:spacing w:after="150" w:before="300"/>
      </w:pPr>
      <w:r>
        <w:t xml:space="preserve">5.1 Unused variables &amp; imports — 370 across the codebase</w:t>
      </w:r>
    </w:p>
    <w:p>
      <w:pPr>
        <w:spacing w:after="120"/>
      </w:pPr>
      <w:r>
        <w:t xml:space="preserve">Now that ESLint actually checks the TypeScript files (Section 3.1), @typescript-eslint/no-unused-vars flags 370 unused local variables and imports across roughly 150 files. These are not auto-fixable by `eslint --fix` (removing a declaration can occasionally have side effects the tool won’t assume away), so they need a human pass — but each one is a quick, low-risk deletion. Worst offenders: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rPr>
          <w:tblHeader/>
        </w:trPr>
        <w:tc>
          <w:tcPr>
            <w:tcW w:type="dxa" w:w="6500"/>
            <w:shd w:fill="2B2B2B" w:val="clear"/>
            <w:tcMar>
              <w:top w:type="dxa" w:w="80"/>
              <w:left w:type="dxa" w:w="100"/>
              <w:bottom w:type="dxa" w:w="80"/>
              <w:right w:type="dxa" w:w="100"/>
            </w:tcMar>
          </w:tcPr>
          <w:p>
            <w:r>
              <w:rPr>
                <w:b/>
                <w:bCs/>
                <w:color w:val="FFFFFF"/>
                <w:sz w:val="18"/>
                <w:szCs w:val="18"/>
              </w:rPr>
              <w:t xml:space="preserve">File</w:t>
            </w:r>
          </w:p>
        </w:tc>
        <w:tc>
          <w:tcPr>
            <w:tcW w:type="dxa" w:w="2500"/>
            <w:shd w:fill="2B2B2B" w:val="clear"/>
            <w:tcMar>
              <w:top w:type="dxa" w:w="80"/>
              <w:left w:type="dxa" w:w="100"/>
              <w:bottom w:type="dxa" w:w="80"/>
              <w:right w:type="dxa" w:w="100"/>
            </w:tcMar>
          </w:tcPr>
          <w:p>
            <w:r>
              <w:rPr>
                <w:b/>
                <w:bCs/>
                <w:color w:val="FFFFFF"/>
                <w:sz w:val="18"/>
                <w:szCs w:val="18"/>
              </w:rPr>
              <w:t xml:space="preserve">Unused vars/imports</w:t>
            </w:r>
          </w:p>
        </w:tc>
      </w:tr>
      <w:tr>
        <w:tc>
          <w:tcPr>
            <w:tcW w:type="dxa" w:w="6500"/>
            <w:shd w:fill="FFFFFF" w:val="clear"/>
            <w:tcMar>
              <w:top w:type="dxa" w:w="60"/>
              <w:left w:type="dxa" w:w="100"/>
              <w:bottom w:type="dxa" w:w="60"/>
              <w:right w:type="dxa" w:w="100"/>
            </w:tcMar>
          </w:tcPr>
          <w:p>
            <w:r>
              <w:rPr>
                <w:sz w:val="18"/>
                <w:szCs w:val="18"/>
              </w:rPr>
              <w:t xml:space="preserve">src/pages/Dashboard/Dashboard.tsx</w:t>
            </w:r>
          </w:p>
        </w:tc>
        <w:tc>
          <w:tcPr>
            <w:tcW w:type="dxa" w:w="2500"/>
            <w:shd w:fill="FFFFFF" w:val="clear"/>
            <w:tcMar>
              <w:top w:type="dxa" w:w="60"/>
              <w:left w:type="dxa" w:w="100"/>
              <w:bottom w:type="dxa" w:w="60"/>
              <w:right w:type="dxa" w:w="100"/>
            </w:tcMar>
          </w:tcPr>
          <w:p>
            <w:r>
              <w:rPr>
                <w:sz w:val="18"/>
                <w:szCs w:val="18"/>
              </w:rPr>
              <w:t xml:space="preserve">11</w:t>
            </w:r>
          </w:p>
        </w:tc>
      </w:tr>
      <w:tr>
        <w:tc>
          <w:tcPr>
            <w:tcW w:type="dxa" w:w="6500"/>
            <w:shd w:fill="F5F5F5" w:val="clear"/>
            <w:tcMar>
              <w:top w:type="dxa" w:w="60"/>
              <w:left w:type="dxa" w:w="100"/>
              <w:bottom w:type="dxa" w:w="60"/>
              <w:right w:type="dxa" w:w="100"/>
            </w:tcMar>
          </w:tcPr>
          <w:p>
            <w:r>
              <w:rPr>
                <w:sz w:val="18"/>
                <w:szCs w:val="18"/>
              </w:rPr>
              <w:t xml:space="preserve">src/pages/People/Employees/LaborManager.tsx</w:t>
            </w:r>
          </w:p>
        </w:tc>
        <w:tc>
          <w:tcPr>
            <w:tcW w:type="dxa" w:w="2500"/>
            <w:shd w:fill="F5F5F5" w:val="clear"/>
            <w:tcMar>
              <w:top w:type="dxa" w:w="60"/>
              <w:left w:type="dxa" w:w="100"/>
              <w:bottom w:type="dxa" w:w="60"/>
              <w:right w:type="dxa" w:w="100"/>
            </w:tcMar>
          </w:tcPr>
          <w:p>
            <w:r>
              <w:rPr>
                <w:sz w:val="18"/>
                <w:szCs w:val="18"/>
              </w:rPr>
              <w:t xml:space="preserve">11</w:t>
            </w:r>
          </w:p>
        </w:tc>
      </w:tr>
      <w:tr>
        <w:tc>
          <w:tcPr>
            <w:tcW w:type="dxa" w:w="6500"/>
            <w:shd w:fill="FFFFFF" w:val="clear"/>
            <w:tcMar>
              <w:top w:type="dxa" w:w="60"/>
              <w:left w:type="dxa" w:w="100"/>
              <w:bottom w:type="dxa" w:w="60"/>
              <w:right w:type="dxa" w:w="100"/>
            </w:tcMar>
          </w:tcPr>
          <w:p>
            <w:r>
              <w:rPr>
                <w:sz w:val="18"/>
                <w:szCs w:val="18"/>
              </w:rPr>
              <w:t xml:space="preserve">src/pages/Commercial/OnlineStore/OnlineStore.tsx</w:t>
            </w:r>
          </w:p>
        </w:tc>
        <w:tc>
          <w:tcPr>
            <w:tcW w:type="dxa" w:w="2500"/>
            <w:shd w:fill="FFFFFF" w:val="clear"/>
            <w:tcMar>
              <w:top w:type="dxa" w:w="60"/>
              <w:left w:type="dxa" w:w="100"/>
              <w:bottom w:type="dxa" w:w="60"/>
              <w:right w:type="dxa" w:w="100"/>
            </w:tcMar>
          </w:tcPr>
          <w:p>
            <w:r>
              <w:rPr>
                <w:sz w:val="18"/>
                <w:szCs w:val="18"/>
              </w:rPr>
              <w:t xml:space="preserve">9</w:t>
            </w:r>
          </w:p>
        </w:tc>
      </w:tr>
      <w:tr>
        <w:tc>
          <w:tcPr>
            <w:tcW w:type="dxa" w:w="6500"/>
            <w:shd w:fill="F5F5F5" w:val="clear"/>
            <w:tcMar>
              <w:top w:type="dxa" w:w="60"/>
              <w:left w:type="dxa" w:w="100"/>
              <w:bottom w:type="dxa" w:w="60"/>
              <w:right w:type="dxa" w:w="100"/>
            </w:tcMar>
          </w:tcPr>
          <w:p>
            <w:r>
              <w:rPr>
                <w:sz w:val="18"/>
                <w:szCs w:val="18"/>
              </w:rPr>
              <w:t xml:space="preserve">src/pages/OnlineStore/index.tsx</w:t>
            </w:r>
          </w:p>
        </w:tc>
        <w:tc>
          <w:tcPr>
            <w:tcW w:type="dxa" w:w="2500"/>
            <w:shd w:fill="F5F5F5" w:val="clear"/>
            <w:tcMar>
              <w:top w:type="dxa" w:w="60"/>
              <w:left w:type="dxa" w:w="100"/>
              <w:bottom w:type="dxa" w:w="60"/>
              <w:right w:type="dxa" w:w="100"/>
            </w:tcMar>
          </w:tcPr>
          <w:p>
            <w:r>
              <w:rPr>
                <w:sz w:val="18"/>
                <w:szCs w:val="18"/>
              </w:rPr>
              <w:t xml:space="preserve">9</w:t>
            </w:r>
          </w:p>
        </w:tc>
      </w:tr>
      <w:tr>
        <w:tc>
          <w:tcPr>
            <w:tcW w:type="dxa" w:w="6500"/>
            <w:shd w:fill="FFFFFF" w:val="clear"/>
            <w:tcMar>
              <w:top w:type="dxa" w:w="60"/>
              <w:left w:type="dxa" w:w="100"/>
              <w:bottom w:type="dxa" w:w="60"/>
              <w:right w:type="dxa" w:w="100"/>
            </w:tcMar>
          </w:tcPr>
          <w:p>
            <w:r>
              <w:rPr>
                <w:sz w:val="18"/>
                <w:szCs w:val="18"/>
              </w:rPr>
              <w:t xml:space="preserve">src/pages/System/Architecture/SuperAdminGrowthConsole.tsx</w:t>
            </w:r>
          </w:p>
        </w:tc>
        <w:tc>
          <w:tcPr>
            <w:tcW w:type="dxa" w:w="2500"/>
            <w:shd w:fill="FFFFFF" w:val="clear"/>
            <w:tcMar>
              <w:top w:type="dxa" w:w="60"/>
              <w:left w:type="dxa" w:w="100"/>
              <w:bottom w:type="dxa" w:w="60"/>
              <w:right w:type="dxa" w:w="100"/>
            </w:tcMar>
          </w:tcPr>
          <w:p>
            <w:r>
              <w:rPr>
                <w:sz w:val="18"/>
                <w:szCs w:val="18"/>
              </w:rPr>
              <w:t xml:space="preserve">8</w:t>
            </w:r>
          </w:p>
        </w:tc>
      </w:tr>
      <w:tr>
        <w:tc>
          <w:tcPr>
            <w:tcW w:type="dxa" w:w="6500"/>
            <w:shd w:fill="F5F5F5" w:val="clear"/>
            <w:tcMar>
              <w:top w:type="dxa" w:w="60"/>
              <w:left w:type="dxa" w:w="100"/>
              <w:bottom w:type="dxa" w:w="60"/>
              <w:right w:type="dxa" w:w="100"/>
            </w:tcMar>
          </w:tcPr>
          <w:p>
            <w:r>
              <w:rPr>
                <w:sz w:val="18"/>
                <w:szCs w:val="18"/>
              </w:rPr>
              <w:t xml:space="preserve">src/hooks/useInventoryLogic.ts</w:t>
            </w:r>
          </w:p>
        </w:tc>
        <w:tc>
          <w:tcPr>
            <w:tcW w:type="dxa" w:w="2500"/>
            <w:shd w:fill="F5F5F5" w:val="clear"/>
            <w:tcMar>
              <w:top w:type="dxa" w:w="60"/>
              <w:left w:type="dxa" w:w="100"/>
              <w:bottom w:type="dxa" w:w="60"/>
              <w:right w:type="dxa" w:w="100"/>
            </w:tcMar>
          </w:tcPr>
          <w:p>
            <w:r>
              <w:rPr>
                <w:sz w:val="18"/>
                <w:szCs w:val="18"/>
              </w:rPr>
              <w:t xml:space="preserve">8</w:t>
            </w:r>
          </w:p>
        </w:tc>
      </w:tr>
      <w:tr>
        <w:tc>
          <w:tcPr>
            <w:tcW w:type="dxa" w:w="6500"/>
            <w:shd w:fill="FFFFFF" w:val="clear"/>
            <w:tcMar>
              <w:top w:type="dxa" w:w="60"/>
              <w:left w:type="dxa" w:w="100"/>
              <w:bottom w:type="dxa" w:w="60"/>
              <w:right w:type="dxa" w:w="100"/>
            </w:tcMar>
          </w:tcPr>
          <w:p>
            <w:r>
              <w:rPr>
                <w:sz w:val="18"/>
                <w:szCs w:val="18"/>
              </w:rPr>
              <w:t xml:space="preserve">src/pages/Expenses/DailyFinance.tsx</w:t>
            </w:r>
          </w:p>
        </w:tc>
        <w:tc>
          <w:tcPr>
            <w:tcW w:type="dxa" w:w="2500"/>
            <w:shd w:fill="FFFFFF" w:val="clear"/>
            <w:tcMar>
              <w:top w:type="dxa" w:w="60"/>
              <w:left w:type="dxa" w:w="100"/>
              <w:bottom w:type="dxa" w:w="60"/>
              <w:right w:type="dxa" w:w="100"/>
            </w:tcMar>
          </w:tcPr>
          <w:p>
            <w:r>
              <w:rPr>
                <w:sz w:val="18"/>
                <w:szCs w:val="18"/>
              </w:rPr>
              <w:t xml:space="preserve">7</w:t>
            </w:r>
          </w:p>
        </w:tc>
      </w:tr>
      <w:tr>
        <w:tc>
          <w:tcPr>
            <w:tcW w:type="dxa" w:w="6500"/>
            <w:shd w:fill="F5F5F5" w:val="clear"/>
            <w:tcMar>
              <w:top w:type="dxa" w:w="60"/>
              <w:left w:type="dxa" w:w="100"/>
              <w:bottom w:type="dxa" w:w="60"/>
              <w:right w:type="dxa" w:w="100"/>
            </w:tcMar>
          </w:tcPr>
          <w:p>
            <w:r>
              <w:rPr>
                <w:sz w:val="18"/>
                <w:szCs w:val="18"/>
              </w:rPr>
              <w:t xml:space="preserve">src/pages/Purchase/PurchaseEntry.tsx</w:t>
            </w:r>
          </w:p>
        </w:tc>
        <w:tc>
          <w:tcPr>
            <w:tcW w:type="dxa" w:w="2500"/>
            <w:shd w:fill="F5F5F5" w:val="clear"/>
            <w:tcMar>
              <w:top w:type="dxa" w:w="60"/>
              <w:left w:type="dxa" w:w="100"/>
              <w:bottom w:type="dxa" w:w="60"/>
              <w:right w:type="dxa" w:w="100"/>
            </w:tcMar>
          </w:tcPr>
          <w:p>
            <w:r>
              <w:rPr>
                <w:sz w:val="18"/>
                <w:szCs w:val="18"/>
              </w:rPr>
              <w:t xml:space="preserve">7</w:t>
            </w:r>
          </w:p>
        </w:tc>
      </w:tr>
      <w:tr>
        <w:tc>
          <w:tcPr>
            <w:tcW w:type="dxa" w:w="6500"/>
            <w:shd w:fill="FFFFFF" w:val="clear"/>
            <w:tcMar>
              <w:top w:type="dxa" w:w="60"/>
              <w:left w:type="dxa" w:w="100"/>
              <w:bottom w:type="dxa" w:w="60"/>
              <w:right w:type="dxa" w:w="100"/>
            </w:tcMar>
          </w:tcPr>
          <w:p>
            <w:r>
              <w:rPr>
                <w:sz w:val="18"/>
                <w:szCs w:val="18"/>
              </w:rPr>
              <w:t xml:space="preserve">src/pages/Purchase/PurchaseOrderForm.tsx</w:t>
            </w:r>
          </w:p>
        </w:tc>
        <w:tc>
          <w:tcPr>
            <w:tcW w:type="dxa" w:w="2500"/>
            <w:shd w:fill="FFFFFF" w:val="clear"/>
            <w:tcMar>
              <w:top w:type="dxa" w:w="60"/>
              <w:left w:type="dxa" w:w="100"/>
              <w:bottom w:type="dxa" w:w="60"/>
              <w:right w:type="dxa" w:w="100"/>
            </w:tcMar>
          </w:tcPr>
          <w:p>
            <w:r>
              <w:rPr>
                <w:sz w:val="18"/>
                <w:szCs w:val="18"/>
              </w:rPr>
              <w:t xml:space="preserve">7</w:t>
            </w:r>
          </w:p>
        </w:tc>
      </w:tr>
      <w:tr>
        <w:tc>
          <w:tcPr>
            <w:tcW w:type="dxa" w:w="6500"/>
            <w:shd w:fill="F5F5F5" w:val="clear"/>
            <w:tcMar>
              <w:top w:type="dxa" w:w="60"/>
              <w:left w:type="dxa" w:w="100"/>
              <w:bottom w:type="dxa" w:w="60"/>
              <w:right w:type="dxa" w:w="100"/>
            </w:tcMar>
          </w:tcPr>
          <w:p>
            <w:r>
              <w:rPr>
                <w:sz w:val="18"/>
                <w:szCs w:val="18"/>
              </w:rPr>
              <w:t xml:space="preserve">src/pages/Marketing/WhatsAppMarketing.tsx</w:t>
            </w:r>
          </w:p>
        </w:tc>
        <w:tc>
          <w:tcPr>
            <w:tcW w:type="dxa" w:w="2500"/>
            <w:shd w:fill="F5F5F5" w:val="clear"/>
            <w:tcMar>
              <w:top w:type="dxa" w:w="60"/>
              <w:left w:type="dxa" w:w="100"/>
              <w:bottom w:type="dxa" w:w="60"/>
              <w:right w:type="dxa" w:w="100"/>
            </w:tcMar>
          </w:tcPr>
          <w:p>
            <w:r>
              <w:rPr>
                <w:sz w:val="18"/>
                <w:szCs w:val="18"/>
              </w:rPr>
              <w:t xml:space="preserve">6</w:t>
            </w:r>
          </w:p>
        </w:tc>
      </w:tr>
      <w:tr>
        <w:tc>
          <w:tcPr>
            <w:tcW w:type="dxa" w:w="6500"/>
            <w:shd w:fill="FFFFFF" w:val="clear"/>
            <w:tcMar>
              <w:top w:type="dxa" w:w="60"/>
              <w:left w:type="dxa" w:w="100"/>
              <w:bottom w:type="dxa" w:w="60"/>
              <w:right w:type="dxa" w:w="100"/>
            </w:tcMar>
          </w:tcPr>
          <w:p>
            <w:r>
              <w:rPr>
                <w:sz w:val="18"/>
                <w:szCs w:val="18"/>
              </w:rPr>
              <w:t xml:space="preserve">src/pages/Pos/POSCartGrid.tsx</w:t>
            </w:r>
          </w:p>
        </w:tc>
        <w:tc>
          <w:tcPr>
            <w:tcW w:type="dxa" w:w="2500"/>
            <w:shd w:fill="FFFFFF" w:val="clear"/>
            <w:tcMar>
              <w:top w:type="dxa" w:w="60"/>
              <w:left w:type="dxa" w:w="100"/>
              <w:bottom w:type="dxa" w:w="60"/>
              <w:right w:type="dxa" w:w="100"/>
            </w:tcMar>
          </w:tcPr>
          <w:p>
            <w:r>
              <w:rPr>
                <w:sz w:val="18"/>
                <w:szCs w:val="18"/>
              </w:rPr>
              <w:t xml:space="preserve">6</w:t>
            </w:r>
          </w:p>
        </w:tc>
      </w:tr>
      <w:tr>
        <w:tc>
          <w:tcPr>
            <w:tcW w:type="dxa" w:w="6500"/>
            <w:shd w:fill="F5F5F5" w:val="clear"/>
            <w:tcMar>
              <w:top w:type="dxa" w:w="60"/>
              <w:left w:type="dxa" w:w="100"/>
              <w:bottom w:type="dxa" w:w="60"/>
              <w:right w:type="dxa" w:w="100"/>
            </w:tcMar>
          </w:tcPr>
          <w:p>
            <w:r>
              <w:rPr>
                <w:sz w:val="18"/>
                <w:szCs w:val="18"/>
              </w:rPr>
              <w:t xml:space="preserve">src/pages/auth/TenantLogin.tsx</w:t>
            </w:r>
          </w:p>
        </w:tc>
        <w:tc>
          <w:tcPr>
            <w:tcW w:type="dxa" w:w="2500"/>
            <w:shd w:fill="F5F5F5" w:val="clear"/>
            <w:tcMar>
              <w:top w:type="dxa" w:w="60"/>
              <w:left w:type="dxa" w:w="100"/>
              <w:bottom w:type="dxa" w:w="60"/>
              <w:right w:type="dxa" w:w="100"/>
            </w:tcMar>
          </w:tcPr>
          <w:p>
            <w:r>
              <w:rPr>
                <w:sz w:val="18"/>
                <w:szCs w:val="18"/>
              </w:rPr>
              <w:t xml:space="preserve">6</w:t>
            </w:r>
          </w:p>
        </w:tc>
      </w:tr>
      <w:tr>
        <w:tc>
          <w:tcPr>
            <w:tcW w:type="dxa" w:w="6500"/>
            <w:shd w:fill="FFFFFF" w:val="clear"/>
            <w:tcMar>
              <w:top w:type="dxa" w:w="60"/>
              <w:left w:type="dxa" w:w="100"/>
              <w:bottom w:type="dxa" w:w="60"/>
              <w:right w:type="dxa" w:w="100"/>
            </w:tcMar>
          </w:tcPr>
          <w:p>
            <w:r>
              <w:rPr>
                <w:sz w:val="18"/>
                <w:szCs w:val="18"/>
              </w:rPr>
              <w:t xml:space="preserve">src/hooks/useSalesLedger.ts</w:t>
            </w:r>
          </w:p>
        </w:tc>
        <w:tc>
          <w:tcPr>
            <w:tcW w:type="dxa" w:w="2500"/>
            <w:shd w:fill="FFFFFF" w:val="clear"/>
            <w:tcMar>
              <w:top w:type="dxa" w:w="60"/>
              <w:left w:type="dxa" w:w="100"/>
              <w:bottom w:type="dxa" w:w="60"/>
              <w:right w:type="dxa" w:w="100"/>
            </w:tcMar>
          </w:tcPr>
          <w:p>
            <w:r>
              <w:rPr>
                <w:sz w:val="18"/>
                <w:szCs w:val="18"/>
              </w:rPr>
              <w:t xml:space="preserve">6</w:t>
            </w:r>
          </w:p>
        </w:tc>
      </w:tr>
      <w:tr>
        <w:tc>
          <w:tcPr>
            <w:tcW w:type="dxa" w:w="6500"/>
            <w:shd w:fill="F5F5F5" w:val="clear"/>
            <w:tcMar>
              <w:top w:type="dxa" w:w="60"/>
              <w:left w:type="dxa" w:w="100"/>
              <w:bottom w:type="dxa" w:w="60"/>
              <w:right w:type="dxa" w:w="100"/>
            </w:tcMar>
          </w:tcPr>
          <w:p>
            <w:r>
              <w:rPr>
                <w:sz w:val="18"/>
                <w:szCs w:val="18"/>
              </w:rPr>
              <w:t xml:space="preserve">src/services/socialService.ts</w:t>
            </w:r>
          </w:p>
        </w:tc>
        <w:tc>
          <w:tcPr>
            <w:tcW w:type="dxa" w:w="2500"/>
            <w:shd w:fill="F5F5F5" w:val="clear"/>
            <w:tcMar>
              <w:top w:type="dxa" w:w="60"/>
              <w:left w:type="dxa" w:w="100"/>
              <w:bottom w:type="dxa" w:w="60"/>
              <w:right w:type="dxa" w:w="100"/>
            </w:tcMar>
          </w:tcPr>
          <w:p>
            <w:r>
              <w:rPr>
                <w:sz w:val="18"/>
                <w:szCs w:val="18"/>
              </w:rPr>
              <w:t xml:space="preserve">6</w:t>
            </w:r>
          </w:p>
        </w:tc>
      </w:tr>
    </w:tbl>
    <w:p>
      <w:pPr>
        <w:spacing w:after="120"/>
      </w:pPr>
      <w:r>
        <w:rPr>
          <w:color w:val="555555"/>
          <w:sz w:val="20"/>
          <w:szCs w:val="20"/>
        </w:rPr>
        <w:t xml:space="preserve">Recommendation: run `npm run lint` locally (now that it works — Section 3.1) and clear these file-by-file; each is independent and low-risk. This is also the single highest-leverage step toward a passing SonarQube quality gate, since unused code is counted directly against maintainability.</w:t>
      </w:r>
    </w:p>
    <w:p>
      <w:pPr>
        <w:pStyle w:val="Heading2"/>
        <w:spacing w:after="150" w:before="300"/>
      </w:pPr>
      <w:r>
        <w:t xml:space="preserve">5.2 Orphaned files — 166 candidates, static-analysis confidence tiered</w:t>
      </w:r>
    </w:p>
    <w:p>
      <w:pPr>
        <w:spacing w:after="120"/>
      </w:pPr>
      <w:r>
        <w:t xml:space="preserve">A static import-graph was built from src/main.tsx and src/App.tsx, following every relative import, `@/` alias import, and literal `import()` call (including React.lazy) transitively. 166 of 612 files were never reached. Because some routing in this app is wired through registries like src/services/ModuleRegistry.ts (confirmed working correctly in this analysis) rather than direct imports, each unreached file was cross-checked: does its own file name appear as text anywhere else in the codebase, under any mechanism? That split the 166 into two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00"/>
      </w:tblGrid>
      <w:tr>
        <w:trPr>
          <w:tblHeader/>
        </w:trPr>
        <w:tc>
          <w:tcPr>
            <w:tcW w:type="dxa" w:w="2600"/>
            <w:shd w:fill="2B2B2B" w:val="clear"/>
            <w:tcMar>
              <w:top w:type="dxa" w:w="80"/>
              <w:left w:type="dxa" w:w="100"/>
              <w:bottom w:type="dxa" w:w="80"/>
              <w:right w:type="dxa" w:w="100"/>
            </w:tcMar>
          </w:tcPr>
          <w:p>
            <w:r>
              <w:rPr>
                <w:b/>
                <w:bCs/>
                <w:color w:val="FFFFFF"/>
                <w:sz w:val="18"/>
                <w:szCs w:val="18"/>
              </w:rPr>
              <w:t xml:space="preserve">Tier</w:t>
            </w:r>
          </w:p>
        </w:tc>
        <w:tc>
          <w:tcPr>
            <w:tcW w:type="dxa" w:w="1400"/>
            <w:shd w:fill="2B2B2B" w:val="clear"/>
            <w:tcMar>
              <w:top w:type="dxa" w:w="80"/>
              <w:left w:type="dxa" w:w="100"/>
              <w:bottom w:type="dxa" w:w="80"/>
              <w:right w:type="dxa" w:w="100"/>
            </w:tcMar>
          </w:tcPr>
          <w:p>
            <w:r>
              <w:rPr>
                <w:b/>
                <w:bCs/>
                <w:color w:val="FFFFFF"/>
                <w:sz w:val="18"/>
                <w:szCs w:val="18"/>
              </w:rPr>
              <w:t xml:space="preserve">Count</w:t>
            </w:r>
          </w:p>
        </w:tc>
        <w:tc>
          <w:tcPr>
            <w:tcW w:type="dxa" w:w="5000"/>
            <w:shd w:fill="2B2B2B" w:val="clear"/>
            <w:tcMar>
              <w:top w:type="dxa" w:w="80"/>
              <w:left w:type="dxa" w:w="100"/>
              <w:bottom w:type="dxa" w:w="80"/>
              <w:right w:type="dxa" w:w="100"/>
            </w:tcMar>
          </w:tcPr>
          <w:p>
            <w:r>
              <w:rPr>
                <w:b/>
                <w:bCs/>
                <w:color w:val="FFFFFF"/>
                <w:sz w:val="18"/>
                <w:szCs w:val="18"/>
              </w:rPr>
              <w:t xml:space="preserve">What it means</w:t>
            </w:r>
          </w:p>
        </w:tc>
      </w:tr>
      <w:tr>
        <w:tc>
          <w:tcPr>
            <w:tcW w:type="dxa" w:w="2600"/>
            <w:shd w:fill="FFFFFF" w:val="clear"/>
            <w:tcMar>
              <w:top w:type="dxa" w:w="60"/>
              <w:left w:type="dxa" w:w="100"/>
              <w:bottom w:type="dxa" w:w="60"/>
              <w:right w:type="dxa" w:w="100"/>
            </w:tcMar>
          </w:tcPr>
          <w:p>
            <w:r>
              <w:rPr>
                <w:sz w:val="18"/>
                <w:szCs w:val="18"/>
              </w:rPr>
              <w:t xml:space="preserve">A — zero references anywhere</w:t>
            </w:r>
          </w:p>
        </w:tc>
        <w:tc>
          <w:tcPr>
            <w:tcW w:type="dxa" w:w="1400"/>
            <w:shd w:fill="FFFFFF" w:val="clear"/>
            <w:tcMar>
              <w:top w:type="dxa" w:w="60"/>
              <w:left w:type="dxa" w:w="100"/>
              <w:bottom w:type="dxa" w:w="60"/>
              <w:right w:type="dxa" w:w="100"/>
            </w:tcMar>
          </w:tcPr>
          <w:p>
            <w:r>
              <w:rPr>
                <w:sz w:val="18"/>
                <w:szCs w:val="18"/>
              </w:rPr>
              <w:t xml:space="preserve">72</w:t>
            </w:r>
          </w:p>
        </w:tc>
        <w:tc>
          <w:tcPr>
            <w:tcW w:type="dxa" w:w="5000"/>
            <w:shd w:fill="FFFFFF" w:val="clear"/>
            <w:tcMar>
              <w:top w:type="dxa" w:w="60"/>
              <w:left w:type="dxa" w:w="100"/>
              <w:bottom w:type="dxa" w:w="60"/>
              <w:right w:type="dxa" w:w="100"/>
            </w:tcMar>
          </w:tcPr>
          <w:p>
            <w:r>
              <w:rPr>
                <w:sz w:val="18"/>
                <w:szCs w:val="18"/>
              </w:rPr>
              <w:t xml:space="preserve">Not imported, not lazy-loaded, and the file’s own name/identifier doesn’t appear in any other file. Strong dead-code candidates.</w:t>
            </w:r>
          </w:p>
        </w:tc>
      </w:tr>
      <w:tr>
        <w:tc>
          <w:tcPr>
            <w:tcW w:type="dxa" w:w="2600"/>
            <w:shd w:fill="F5F5F5" w:val="clear"/>
            <w:tcMar>
              <w:top w:type="dxa" w:w="60"/>
              <w:left w:type="dxa" w:w="100"/>
              <w:bottom w:type="dxa" w:w="60"/>
              <w:right w:type="dxa" w:w="100"/>
            </w:tcMar>
          </w:tcPr>
          <w:p>
            <w:r>
              <w:rPr>
                <w:sz w:val="18"/>
                <w:szCs w:val="18"/>
              </w:rPr>
              <w:t xml:space="preserve">B — name appears elsewhere, but not import-resolved</w:t>
            </w:r>
          </w:p>
        </w:tc>
        <w:tc>
          <w:tcPr>
            <w:tcW w:type="dxa" w:w="1400"/>
            <w:shd w:fill="F5F5F5" w:val="clear"/>
            <w:tcMar>
              <w:top w:type="dxa" w:w="60"/>
              <w:left w:type="dxa" w:w="100"/>
              <w:bottom w:type="dxa" w:w="60"/>
              <w:right w:type="dxa" w:w="100"/>
            </w:tcMar>
          </w:tcPr>
          <w:p>
            <w:r>
              <w:rPr>
                <w:sz w:val="18"/>
                <w:szCs w:val="18"/>
              </w:rPr>
              <w:t xml:space="preserve">95</w:t>
            </w:r>
          </w:p>
        </w:tc>
        <w:tc>
          <w:tcPr>
            <w:tcW w:type="dxa" w:w="5000"/>
            <w:shd w:fill="F5F5F5" w:val="clear"/>
            <w:tcMar>
              <w:top w:type="dxa" w:w="60"/>
              <w:left w:type="dxa" w:w="100"/>
              <w:bottom w:type="dxa" w:w="60"/>
              <w:right w:type="dxa" w:w="100"/>
            </w:tcMar>
          </w:tcPr>
          <w:p>
            <w:r>
              <w:rPr>
                <w:sz w:val="18"/>
                <w:szCs w:val="18"/>
              </w:rPr>
              <w:t xml:space="preserve">Referenced by text somewhere (could be a real but unusual wiring path, a coincidental name match, or a leftover reference) — needs a quick manual check before deleting.</w:t>
            </w:r>
          </w:p>
        </w:tc>
      </w:tr>
    </w:tbl>
    <w:p>
      <w:pPr>
        <w:spacing w:after="120"/>
      </w:pPr>
      <w:r>
        <w:rPr>
          <w:sz w:val="20"/>
          <w:szCs w:val="20"/>
        </w:rPr>
        <w:t xml:space="preserve">Selected Tier A examples (full list in Appendix A.3):</w:t>
      </w:r>
    </w:p>
    <w:p>
      <w:pPr>
        <w:pStyle w:val="ListParagraph"/>
        <w:numPr>
          <w:ilvl w:val="0"/>
          <w:numId w:val="1"/>
        </w:numPr>
        <w:spacing w:after="80"/>
      </w:pPr>
      <w:r>
        <w:t xml:space="preserve">src/pages/Purchase/PurchaseReturn.tsx (492 lines) — a page component that is genuinely never rendered. A sibling file, PurchaseReturns.tsx (plural), is the one actually wired up and used; only its type import (`PurchaseReturn` from types/purchase) coincidentally shares the name.</w:t>
      </w:r>
    </w:p>
    <w:p>
      <w:pPr>
        <w:pStyle w:val="ListParagraph"/>
        <w:numPr>
          <w:ilvl w:val="0"/>
          <w:numId w:val="1"/>
        </w:numPr>
        <w:spacing w:after="80"/>
      </w:pPr>
      <w:r>
        <w:t xml:space="preserve">9 "…MockUI" page variants (e.g. AllowanceManagerMockUI.tsx, LaborManagerMockUI.tsx, PayrollDashboardMockUI.tsx) — note that "MockUI" is not itself a signal of dead code in this project: ModuleRegistry.ts wires up ~40 other "…MockUI" files as the real production screens for their sections. These 9 specifically are not in that registry.</w:t>
      </w:r>
    </w:p>
    <w:p>
      <w:pPr>
        <w:pStyle w:val="ListParagraph"/>
        <w:numPr>
          <w:ilvl w:val="0"/>
          <w:numId w:val="1"/>
        </w:numPr>
        <w:spacing w:after="80"/>
      </w:pPr>
      <w:r>
        <w:t xml:space="preserve">src/pages/Business/{OnlineShop,GoogleProfile,MetaCallback}.tsx and BusinessSetupModal.tsx / BusinessSubNav.tsx — an apparently abandoned "Business" section; none of it is reached from the app shell.</w:t>
      </w:r>
    </w:p>
    <w:p>
      <w:pPr>
        <w:pStyle w:val="ListParagraph"/>
        <w:numPr>
          <w:ilvl w:val="0"/>
          <w:numId w:val="1"/>
        </w:numPr>
        <w:spacing w:after="80"/>
      </w:pPr>
      <w:r>
        <w:t xml:space="preserve">7 unused custom hooks (useInventoryLogic, useRealtimeTenantSync, useSalesLedger, useSalesReturnManager, useTenantFormActions/State/Submission).</w:t>
      </w:r>
    </w:p>
    <w:p>
      <w:pPr>
        <w:pStyle w:val="ListParagraph"/>
        <w:numPr>
          <w:ilvl w:val="0"/>
          <w:numId w:val="1"/>
        </w:numPr>
        <w:spacing w:after="80"/>
      </w:pPr>
      <w:r>
        <w:t xml:space="preserve">src/config/sentry.ts — Sentry (@sentry/react is a dependency) is configured but the config file is never imported, so error tracking is likely not actually wired up in the running app.</w:t>
      </w:r>
    </w:p>
    <w:p>
      <w:pPr>
        <w:spacing w:after="120"/>
      </w:pPr>
      <w:r>
        <w:rPr>
          <w:color w:val="555555"/>
          <w:sz w:val="20"/>
          <w:szCs w:val="20"/>
        </w:rPr>
        <w:t xml:space="preserve">Recommendation: review Tier A with the module owners and delete confirmed-dead files; spot-check a sample of Tier B before deciding. Full paths for both tiers are in Appendix A.3.</w:t>
      </w:r>
    </w:p>
    <w:p>
      <w:pPr>
        <w:pStyle w:val="Heading2"/>
        <w:spacing w:after="150" w:before="300"/>
      </w:pPr>
      <w:r>
        <w:t xml:space="preserve">5.3 Commented-out code — 27 blocks across 21 files</w:t>
      </w:r>
    </w:p>
    <w:p>
      <w:pPr>
        <w:spacing w:after="120"/>
      </w:pPr>
      <w:r>
        <w:t xml:space="preserve">A modest amount, but worth a pass: src/pages/Pos/POSCartGrid.tsx alone has 7 commented-out code lines; the other 20 are spread one-per-file across files including src/hooks/usePOSLogic.ts, src/redux/thunks/saleThunks.ts, src/pages/Purchase/PurchaseEntry.tsx, and src/pages/People/Employees/StaffManager.tsx. Per the standard, delete rather than comment out — git history preserves the old version.</w:t>
      </w:r>
    </w:p>
    <w:p>
      <w:pPr>
        <w:pStyle w:val="Heading2"/>
        <w:spacing w:after="150" w:before="300"/>
      </w:pPr>
      <w:r>
        <w:t xml:space="preserve">5.4 console.log statements — 52 across 27 files</w:t>
      </w:r>
    </w:p>
    <w:p>
      <w:pPr>
        <w:spacing w:after="120"/>
      </w:pPr>
      <w:r>
        <w:t xml:space="preserve">Concentrated in src/pages/Purchase/PurchaseEntry.tsx (12), src/services/SyncIntelligenceService.ts (3), src/services/GrowthIntelligenceService.ts (3), src/redux/thunks/financeThunks.ts (3), with the remaining 31 spread as 1–2 per file. Not necessarily wrong during active development, but these should be removed or switched to a real logger before shipping — several (e.g. App.tsx:176 "🔒 Force logout triggered") look like they were meant as permanent operational logging and would benefit from a logging utility rather than raw console.log.</w:t>
      </w:r>
    </w:p>
    <w:p>
      <w:pPr>
        <w:pStyle w:val="Heading2"/>
        <w:spacing w:after="150" w:before="300"/>
      </w:pPr>
      <w:r>
        <w:t xml:space="preserve">5.5 Stale generated-data risk: very large mock-data files are bundled into production</w:t>
      </w:r>
    </w:p>
    <w:p>
      <w:pPr>
        <w:spacing w:after="120"/>
      </w:pPr>
      <w:r>
        <w:t xml:space="preserve">src/data/sales_invoices.ts is 26,857 lines; src/data/sales_items.ts is 13,622; four more data files exceed 1,000 lines. These are imported directly by production pages (e.g. Dashboard.tsx imports salesInvoices, customers, suppliers, etc. from `../../data` as a fallback when the live API/Redux data hasn’t loaded yet). That means this multi-megabyte generated mock dataset ships in the production bundle for every user. Worth confirming with the team whether this fallback path is still needed post-launch, and if so, whether it can be lazy-loaded instead of bundled eagerly.</w:t>
      </w:r>
    </w:p>
    <w:p>
      <w:pPr>
        <w:pStyle w:val="Heading1"/>
        <w:spacing w:after="200" w:before="400"/>
      </w:pPr>
      <w:r>
        <w:t xml:space="preserve">6. Duplicated Logic (Reusability)</w:t>
      </w:r>
    </w:p>
    <w:p>
      <w:pPr>
        <w:spacing w:after="120"/>
      </w:pPr>
      <w:r>
        <w:t xml:space="preserve">The standard specifically calls out repeated date/currency formatting as the canonical case for a shared utility (Section 12 of the standard). Both patterns are present here at scale, and neither utility exists yet — src/utils/ has 23 files but no dateUtils.ts or formatUtils.ts.</w:t>
      </w:r>
    </w:p>
    <w:p>
      <w:pPr>
        <w:pStyle w:val="Heading2"/>
        <w:spacing w:after="150" w:before="300"/>
      </w:pPr>
      <w:r>
        <w:t xml:space="preserve">6.1 Date formatting duplicated in 73 files</w:t>
      </w:r>
    </w:p>
    <w:p>
      <w:pPr>
        <w:spacing w:after="120"/>
      </w:pPr>
      <w:r>
        <w:t xml:space="preserve">`new Date(...).toLocaleDateString(...)` is called directly, inline, in 73 different files rather than through a shared helper — e.g. PurchaseOrderForm.tsx, CustomerList.tsx, Dashboard.tsx, SalesOrderDetail.tsx, and 69 more. Any future change to the app’s date format (e.g. adding a timezone, switching locale) means editing 73 files instead of one.</w:t>
      </w:r>
    </w:p>
    <w:p>
      <w:pPr>
        <w:shd w:fill="F0F0F0" w:val="clear"/>
        <w:spacing w:after="0"/>
      </w:pPr>
      <w:r>
        <w:rPr>
          <w:rFonts w:ascii="Consolas" w:cs="Consolas" w:eastAsia="Consolas" w:hAnsi="Consolas"/>
          <w:color w:val="333333"/>
          <w:sz w:val="18"/>
          <w:szCs w:val="18"/>
        </w:rPr>
        <w:t xml:space="preserve">// Recommended: src/utils/dateUtils.ts</w:t>
      </w:r>
    </w:p>
    <w:p>
      <w:pPr>
        <w:shd w:fill="F0F0F0" w:val="clear"/>
        <w:spacing w:after="0"/>
      </w:pPr>
      <w:r>
        <w:rPr>
          <w:rFonts w:ascii="Consolas" w:cs="Consolas" w:eastAsia="Consolas" w:hAnsi="Consolas"/>
          <w:color w:val="333333"/>
          <w:sz w:val="18"/>
          <w:szCs w:val="18"/>
        </w:rPr>
        <w:t xml:space="preserve">export const formatDate = (date: string | Date) =&gt;</w:t>
      </w:r>
    </w:p>
    <w:p>
      <w:pPr>
        <w:shd w:fill="F0F0F0" w:val="clear"/>
        <w:spacing w:after="80"/>
      </w:pPr>
      <w:r>
        <w:rPr>
          <w:rFonts w:ascii="Consolas" w:cs="Consolas" w:eastAsia="Consolas" w:hAnsi="Consolas"/>
          <w:color w:val="333333"/>
          <w:sz w:val="18"/>
          <w:szCs w:val="18"/>
        </w:rPr>
        <w:t xml:space="preserve">  new Date(date).toLocaleDateString('en-IN', { day: '2-digit', month: 'short', year: 'numeric' });</w:t>
      </w:r>
    </w:p>
    <w:p>
      <w:pPr>
        <w:pStyle w:val="Heading2"/>
        <w:spacing w:after="150" w:before="300"/>
      </w:pPr>
      <w:r>
        <w:t xml:space="preserve">6.2 Currency formatting duplicated in 60 files (158 call sites)</w:t>
      </w:r>
    </w:p>
    <w:p>
      <w:pPr>
        <w:spacing w:after="120"/>
      </w:pPr>
      <w:r>
        <w:t xml:space="preserve">Manual `.toFixed(2)` for money is used 158 times across 60 files, heaviest in src/pages/Purchase/PurchaseEntry.tsx (13), src/pages/Sales/payments/PaymentReceiptDetail.tsx (13), src/pages/Sales/salesInvoices/SalesInvoiceDetail.tsx (9), src/pages/Sales/returns/Return.tsx (8), and src/pages/Sales/payments/PaymentIn.tsx (7). A single formatCurrency() utility (handling the ₹/locale grouping and the 2-decimal rounding together) would remove the duplication and guarantee consistent rounding behavior — currently every call site rounds independently.</w:t>
      </w:r>
    </w:p>
    <w:p>
      <w:pPr>
        <w:pStyle w:val="Heading2"/>
        <w:spacing w:after="150" w:before="300"/>
      </w:pPr>
      <w:r>
        <w:t xml:space="preserve">6.3 Status values as inline string literals — 109 occurrences of "Pending" alone, across 51 files</w:t>
      </w:r>
    </w:p>
    <w:p>
      <w:pPr>
        <w:spacing w:after="120"/>
      </w:pPr>
      <w:r>
        <w:t xml:space="preserve">Business-status strings ("Pending", "Approved", etc.) are written as inline string literals at each call site rather than through shared constants/enums. This is exactly the pattern Section 17 of the standard warns about: nothing currently prevents "Pending" / "pending" / "PENDING" from drifting apart across the frontend, Redux, and API layers. src/types/ already has domain types (sales.ts, purchase.ts, finance.ts) that would be a natural home for a shared STATUS constants object.</w:t>
      </w:r>
    </w:p>
    <w:p>
      <w:pPr>
        <w:pStyle w:val="Heading1"/>
        <w:spacing w:after="200" w:before="400"/>
      </w:pPr>
      <w:r>
        <w:t xml:space="preserve">7. Component Size</w:t>
      </w:r>
    </w:p>
    <w:p>
      <w:pPr>
        <w:spacing w:after="120"/>
      </w:pPr>
      <w:r>
        <w:t xml:space="preserve">45 files exceed 500 lines; 18 exceed 800. Large data files (src/data/*.ts, holding generated mock records) are expected to be long and are excluded below — this table is components/pages 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rPr>
          <w:tblHeader/>
        </w:trPr>
        <w:tc>
          <w:tcPr>
            <w:tcW w:type="dxa" w:w="6500"/>
            <w:shd w:fill="2B2B2B" w:val="clear"/>
            <w:tcMar>
              <w:top w:type="dxa" w:w="80"/>
              <w:left w:type="dxa" w:w="100"/>
              <w:bottom w:type="dxa" w:w="80"/>
              <w:right w:type="dxa" w:w="100"/>
            </w:tcMar>
          </w:tcPr>
          <w:p>
            <w:r>
              <w:rPr>
                <w:b/>
                <w:bCs/>
                <w:color w:val="FFFFFF"/>
                <w:sz w:val="18"/>
                <w:szCs w:val="18"/>
              </w:rPr>
              <w:t xml:space="preserve">File</w:t>
            </w:r>
          </w:p>
        </w:tc>
        <w:tc>
          <w:tcPr>
            <w:tcW w:type="dxa" w:w="2500"/>
            <w:shd w:fill="2B2B2B" w:val="clear"/>
            <w:tcMar>
              <w:top w:type="dxa" w:w="80"/>
              <w:left w:type="dxa" w:w="100"/>
              <w:bottom w:type="dxa" w:w="80"/>
              <w:right w:type="dxa" w:w="100"/>
            </w:tcMar>
          </w:tcPr>
          <w:p>
            <w:r>
              <w:rPr>
                <w:b/>
                <w:bCs/>
                <w:color w:val="FFFFFF"/>
                <w:sz w:val="18"/>
                <w:szCs w:val="18"/>
              </w:rPr>
              <w:t xml:space="preserve">Lines</w:t>
            </w:r>
          </w:p>
        </w:tc>
      </w:tr>
      <w:tr>
        <w:tc>
          <w:tcPr>
            <w:tcW w:type="dxa" w:w="6500"/>
            <w:shd w:fill="FFFFFF" w:val="clear"/>
            <w:tcMar>
              <w:top w:type="dxa" w:w="60"/>
              <w:left w:type="dxa" w:w="100"/>
              <w:bottom w:type="dxa" w:w="60"/>
              <w:right w:type="dxa" w:w="100"/>
            </w:tcMar>
          </w:tcPr>
          <w:p>
            <w:r>
              <w:rPr>
                <w:sz w:val="18"/>
                <w:szCs w:val="18"/>
              </w:rPr>
              <w:t xml:space="preserve">src/pages/Purchase/PurchaseEntry.tsx</w:t>
            </w:r>
          </w:p>
        </w:tc>
        <w:tc>
          <w:tcPr>
            <w:tcW w:type="dxa" w:w="2500"/>
            <w:shd w:fill="FFFFFF" w:val="clear"/>
            <w:tcMar>
              <w:top w:type="dxa" w:w="60"/>
              <w:left w:type="dxa" w:w="100"/>
              <w:bottom w:type="dxa" w:w="60"/>
              <w:right w:type="dxa" w:w="100"/>
            </w:tcMar>
          </w:tcPr>
          <w:p>
            <w:r>
              <w:rPr>
                <w:sz w:val="18"/>
                <w:szCs w:val="18"/>
              </w:rPr>
              <w:t xml:space="preserve">1,614</w:t>
            </w:r>
          </w:p>
        </w:tc>
      </w:tr>
      <w:tr>
        <w:tc>
          <w:tcPr>
            <w:tcW w:type="dxa" w:w="6500"/>
            <w:shd w:fill="F5F5F5" w:val="clear"/>
            <w:tcMar>
              <w:top w:type="dxa" w:w="60"/>
              <w:left w:type="dxa" w:w="100"/>
              <w:bottom w:type="dxa" w:w="60"/>
              <w:right w:type="dxa" w:w="100"/>
            </w:tcMar>
          </w:tcPr>
          <w:p>
            <w:r>
              <w:rPr>
                <w:sz w:val="18"/>
                <w:szCs w:val="18"/>
              </w:rPr>
              <w:t xml:space="preserve">src/pages/Onboarding/TenantOnboarding.tsx</w:t>
            </w:r>
          </w:p>
        </w:tc>
        <w:tc>
          <w:tcPr>
            <w:tcW w:type="dxa" w:w="2500"/>
            <w:shd w:fill="F5F5F5" w:val="clear"/>
            <w:tcMar>
              <w:top w:type="dxa" w:w="60"/>
              <w:left w:type="dxa" w:w="100"/>
              <w:bottom w:type="dxa" w:w="60"/>
              <w:right w:type="dxa" w:w="100"/>
            </w:tcMar>
          </w:tcPr>
          <w:p>
            <w:r>
              <w:rPr>
                <w:sz w:val="18"/>
                <w:szCs w:val="18"/>
              </w:rPr>
              <w:t xml:space="preserve">1,124</w:t>
            </w:r>
          </w:p>
        </w:tc>
      </w:tr>
      <w:tr>
        <w:tc>
          <w:tcPr>
            <w:tcW w:type="dxa" w:w="6500"/>
            <w:shd w:fill="FFFFFF" w:val="clear"/>
            <w:tcMar>
              <w:top w:type="dxa" w:w="60"/>
              <w:left w:type="dxa" w:w="100"/>
              <w:bottom w:type="dxa" w:w="60"/>
              <w:right w:type="dxa" w:w="100"/>
            </w:tcMar>
          </w:tcPr>
          <w:p>
            <w:r>
              <w:rPr>
                <w:sz w:val="18"/>
                <w:szCs w:val="18"/>
              </w:rPr>
              <w:t xml:space="preserve">src/pages/Dashboard/Dashboard.tsx</w:t>
            </w:r>
          </w:p>
        </w:tc>
        <w:tc>
          <w:tcPr>
            <w:tcW w:type="dxa" w:w="2500"/>
            <w:shd w:fill="FFFFFF" w:val="clear"/>
            <w:tcMar>
              <w:top w:type="dxa" w:w="60"/>
              <w:left w:type="dxa" w:w="100"/>
              <w:bottom w:type="dxa" w:w="60"/>
              <w:right w:type="dxa" w:w="100"/>
            </w:tcMar>
          </w:tcPr>
          <w:p>
            <w:r>
              <w:rPr>
                <w:sz w:val="18"/>
                <w:szCs w:val="18"/>
              </w:rPr>
              <w:t xml:space="preserve">926</w:t>
            </w:r>
          </w:p>
        </w:tc>
      </w:tr>
      <w:tr>
        <w:tc>
          <w:tcPr>
            <w:tcW w:type="dxa" w:w="6500"/>
            <w:shd w:fill="F5F5F5" w:val="clear"/>
            <w:tcMar>
              <w:top w:type="dxa" w:w="60"/>
              <w:left w:type="dxa" w:w="100"/>
              <w:bottom w:type="dxa" w:w="60"/>
              <w:right w:type="dxa" w:w="100"/>
            </w:tcMar>
          </w:tcPr>
          <w:p>
            <w:r>
              <w:rPr>
                <w:sz w:val="18"/>
                <w:szCs w:val="18"/>
              </w:rPr>
              <w:t xml:space="preserve">src/pages/System/Data/components/BarcodeGenerator.tsx</w:t>
            </w:r>
          </w:p>
        </w:tc>
        <w:tc>
          <w:tcPr>
            <w:tcW w:type="dxa" w:w="2500"/>
            <w:shd w:fill="F5F5F5" w:val="clear"/>
            <w:tcMar>
              <w:top w:type="dxa" w:w="60"/>
              <w:left w:type="dxa" w:w="100"/>
              <w:bottom w:type="dxa" w:w="60"/>
              <w:right w:type="dxa" w:w="100"/>
            </w:tcMar>
          </w:tcPr>
          <w:p>
            <w:r>
              <w:rPr>
                <w:sz w:val="18"/>
                <w:szCs w:val="18"/>
              </w:rPr>
              <w:t xml:space="preserve">840</w:t>
            </w:r>
          </w:p>
        </w:tc>
      </w:tr>
      <w:tr>
        <w:tc>
          <w:tcPr>
            <w:tcW w:type="dxa" w:w="6500"/>
            <w:shd w:fill="FFFFFF" w:val="clear"/>
            <w:tcMar>
              <w:top w:type="dxa" w:w="60"/>
              <w:left w:type="dxa" w:w="100"/>
              <w:bottom w:type="dxa" w:w="60"/>
              <w:right w:type="dxa" w:w="100"/>
            </w:tcMar>
          </w:tcPr>
          <w:p>
            <w:r>
              <w:rPr>
                <w:sz w:val="18"/>
                <w:szCs w:val="18"/>
              </w:rPr>
              <w:t xml:space="preserve">src/pages/Business/GoogleProfile.tsx</w:t>
            </w:r>
          </w:p>
        </w:tc>
        <w:tc>
          <w:tcPr>
            <w:tcW w:type="dxa" w:w="2500"/>
            <w:shd w:fill="FFFFFF" w:val="clear"/>
            <w:tcMar>
              <w:top w:type="dxa" w:w="60"/>
              <w:left w:type="dxa" w:w="100"/>
              <w:bottom w:type="dxa" w:w="60"/>
              <w:right w:type="dxa" w:w="100"/>
            </w:tcMar>
          </w:tcPr>
          <w:p>
            <w:r>
              <w:rPr>
                <w:sz w:val="18"/>
                <w:szCs w:val="18"/>
              </w:rPr>
              <w:t xml:space="preserve">826 (also dead code, Sec. 5.2)</w:t>
            </w:r>
          </w:p>
        </w:tc>
      </w:tr>
      <w:tr>
        <w:tc>
          <w:tcPr>
            <w:tcW w:type="dxa" w:w="6500"/>
            <w:shd w:fill="F5F5F5" w:val="clear"/>
            <w:tcMar>
              <w:top w:type="dxa" w:w="60"/>
              <w:left w:type="dxa" w:w="100"/>
              <w:bottom w:type="dxa" w:w="60"/>
              <w:right w:type="dxa" w:w="100"/>
            </w:tcMar>
          </w:tcPr>
          <w:p>
            <w:r>
              <w:rPr>
                <w:sz w:val="18"/>
                <w:szCs w:val="18"/>
              </w:rPr>
              <w:t xml:space="preserve">src/pages/Sales/returns/Return.tsx</w:t>
            </w:r>
          </w:p>
        </w:tc>
        <w:tc>
          <w:tcPr>
            <w:tcW w:type="dxa" w:w="2500"/>
            <w:shd w:fill="F5F5F5" w:val="clear"/>
            <w:tcMar>
              <w:top w:type="dxa" w:w="60"/>
              <w:left w:type="dxa" w:w="100"/>
              <w:bottom w:type="dxa" w:w="60"/>
              <w:right w:type="dxa" w:w="100"/>
            </w:tcMar>
          </w:tcPr>
          <w:p>
            <w:r>
              <w:rPr>
                <w:sz w:val="18"/>
                <w:szCs w:val="18"/>
              </w:rPr>
              <w:t xml:space="preserve">819</w:t>
            </w:r>
          </w:p>
        </w:tc>
      </w:tr>
      <w:tr>
        <w:tc>
          <w:tcPr>
            <w:tcW w:type="dxa" w:w="6500"/>
            <w:shd w:fill="FFFFFF" w:val="clear"/>
            <w:tcMar>
              <w:top w:type="dxa" w:w="60"/>
              <w:left w:type="dxa" w:w="100"/>
              <w:bottom w:type="dxa" w:w="60"/>
              <w:right w:type="dxa" w:w="100"/>
            </w:tcMar>
          </w:tcPr>
          <w:p>
            <w:r>
              <w:rPr>
                <w:sz w:val="18"/>
                <w:szCs w:val="18"/>
              </w:rPr>
              <w:t xml:space="preserve">src/pages/People/Tenants/TenantManager.tsx</w:t>
            </w:r>
          </w:p>
        </w:tc>
        <w:tc>
          <w:tcPr>
            <w:tcW w:type="dxa" w:w="2500"/>
            <w:shd w:fill="FFFFFF" w:val="clear"/>
            <w:tcMar>
              <w:top w:type="dxa" w:w="60"/>
              <w:left w:type="dxa" w:w="100"/>
              <w:bottom w:type="dxa" w:w="60"/>
              <w:right w:type="dxa" w:w="100"/>
            </w:tcMar>
          </w:tcPr>
          <w:p>
            <w:r>
              <w:rPr>
                <w:sz w:val="18"/>
                <w:szCs w:val="18"/>
              </w:rPr>
              <w:t xml:space="preserve">812</w:t>
            </w:r>
          </w:p>
        </w:tc>
      </w:tr>
      <w:tr>
        <w:tc>
          <w:tcPr>
            <w:tcW w:type="dxa" w:w="6500"/>
            <w:shd w:fill="F5F5F5" w:val="clear"/>
            <w:tcMar>
              <w:top w:type="dxa" w:w="60"/>
              <w:left w:type="dxa" w:w="100"/>
              <w:bottom w:type="dxa" w:w="60"/>
              <w:right w:type="dxa" w:w="100"/>
            </w:tcMar>
          </w:tcPr>
          <w:p>
            <w:r>
              <w:rPr>
                <w:sz w:val="18"/>
                <w:szCs w:val="18"/>
              </w:rPr>
              <w:t xml:space="preserve">src/pages/Sales/payments/PaymentIn.tsx</w:t>
            </w:r>
          </w:p>
        </w:tc>
        <w:tc>
          <w:tcPr>
            <w:tcW w:type="dxa" w:w="2500"/>
            <w:shd w:fill="F5F5F5" w:val="clear"/>
            <w:tcMar>
              <w:top w:type="dxa" w:w="60"/>
              <w:left w:type="dxa" w:w="100"/>
              <w:bottom w:type="dxa" w:w="60"/>
              <w:right w:type="dxa" w:w="100"/>
            </w:tcMar>
          </w:tcPr>
          <w:p>
            <w:r>
              <w:rPr>
                <w:sz w:val="18"/>
                <w:szCs w:val="18"/>
              </w:rPr>
              <w:t xml:space="preserve">810</w:t>
            </w:r>
          </w:p>
        </w:tc>
      </w:tr>
      <w:tr>
        <w:tc>
          <w:tcPr>
            <w:tcW w:type="dxa" w:w="6500"/>
            <w:shd w:fill="FFFFFF" w:val="clear"/>
            <w:tcMar>
              <w:top w:type="dxa" w:w="60"/>
              <w:left w:type="dxa" w:w="100"/>
              <w:bottom w:type="dxa" w:w="60"/>
              <w:right w:type="dxa" w:w="100"/>
            </w:tcMar>
          </w:tcPr>
          <w:p>
            <w:r>
              <w:rPr>
                <w:sz w:val="18"/>
                <w:szCs w:val="18"/>
              </w:rPr>
              <w:t xml:space="preserve">src/pages/Reports/BusinessReportsHub.tsx</w:t>
            </w:r>
          </w:p>
        </w:tc>
        <w:tc>
          <w:tcPr>
            <w:tcW w:type="dxa" w:w="2500"/>
            <w:shd w:fill="FFFFFF" w:val="clear"/>
            <w:tcMar>
              <w:top w:type="dxa" w:w="60"/>
              <w:left w:type="dxa" w:w="100"/>
              <w:bottom w:type="dxa" w:w="60"/>
              <w:right w:type="dxa" w:w="100"/>
            </w:tcMar>
          </w:tcPr>
          <w:p>
            <w:r>
              <w:rPr>
                <w:sz w:val="18"/>
                <w:szCs w:val="18"/>
              </w:rPr>
              <w:t xml:space="preserve">805</w:t>
            </w:r>
          </w:p>
        </w:tc>
      </w:tr>
      <w:tr>
        <w:tc>
          <w:tcPr>
            <w:tcW w:type="dxa" w:w="6500"/>
            <w:shd w:fill="F5F5F5" w:val="clear"/>
            <w:tcMar>
              <w:top w:type="dxa" w:w="60"/>
              <w:left w:type="dxa" w:w="100"/>
              <w:bottom w:type="dxa" w:w="60"/>
              <w:right w:type="dxa" w:w="100"/>
            </w:tcMar>
          </w:tcPr>
          <w:p>
            <w:r>
              <w:rPr>
                <w:sz w:val="18"/>
                <w:szCs w:val="18"/>
              </w:rPr>
              <w:t xml:space="preserve">src/pages/Pos/POSCartGrid.tsx</w:t>
            </w:r>
          </w:p>
        </w:tc>
        <w:tc>
          <w:tcPr>
            <w:tcW w:type="dxa" w:w="2500"/>
            <w:shd w:fill="F5F5F5" w:val="clear"/>
            <w:tcMar>
              <w:top w:type="dxa" w:w="60"/>
              <w:left w:type="dxa" w:w="100"/>
              <w:bottom w:type="dxa" w:w="60"/>
              <w:right w:type="dxa" w:w="100"/>
            </w:tcMar>
          </w:tcPr>
          <w:p>
            <w:r>
              <w:rPr>
                <w:sz w:val="18"/>
                <w:szCs w:val="18"/>
              </w:rPr>
              <w:t xml:space="preserve">789</w:t>
            </w:r>
          </w:p>
        </w:tc>
      </w:tr>
    </w:tbl>
    <w:p>
      <w:pPr>
        <w:spacing w:after="120"/>
      </w:pPr>
      <w:r>
        <w:rPr>
          <w:color w:val="555555"/>
          <w:sz w:val="20"/>
          <w:szCs w:val="20"/>
        </w:rPr>
        <w:t xml:space="preserve">PurchaseEntry.tsx in particular combines form state, validation, and API calls in one 1,614-line file, and also has the second-highest unused-import count (Section 5.1) and 12 console.log calls (Section 5.4) — a good first candidate to split along the lines the standard suggests in Section 21 (header/filters/table/form/modal extraction).</w:t>
      </w:r>
    </w:p>
    <w:p>
      <w:pPr>
        <w:pStyle w:val="Heading1"/>
        <w:spacing w:after="200" w:before="400"/>
      </w:pPr>
      <w:r>
        <w:t xml:space="preserve">8. Prioritized 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100"/>
      </w:tblGrid>
      <w:tr>
        <w:trPr>
          <w:tblHeader/>
        </w:trPr>
        <w:tc>
          <w:tcPr>
            <w:tcW w:type="dxa" w:w="500"/>
            <w:shd w:fill="2B2B2B" w:val="clear"/>
            <w:tcMar>
              <w:top w:type="dxa" w:w="80"/>
              <w:left w:type="dxa" w:w="100"/>
              <w:bottom w:type="dxa" w:w="80"/>
              <w:right w:type="dxa" w:w="100"/>
            </w:tcMar>
          </w:tcPr>
          <w:p>
            <w:r>
              <w:rPr>
                <w:b/>
                <w:bCs/>
                <w:color w:val="FFFFFF"/>
                <w:sz w:val="18"/>
                <w:szCs w:val="18"/>
              </w:rPr>
              <w:t xml:space="preserve">#</w:t>
            </w:r>
          </w:p>
        </w:tc>
        <w:tc>
          <w:tcPr>
            <w:tcW w:type="dxa" w:w="4400"/>
            <w:shd w:fill="2B2B2B" w:val="clear"/>
            <w:tcMar>
              <w:top w:type="dxa" w:w="80"/>
              <w:left w:type="dxa" w:w="100"/>
              <w:bottom w:type="dxa" w:w="80"/>
              <w:right w:type="dxa" w:w="100"/>
            </w:tcMar>
          </w:tcPr>
          <w:p>
            <w:r>
              <w:rPr>
                <w:b/>
                <w:bCs/>
                <w:color w:val="FFFFFF"/>
                <w:sz w:val="18"/>
                <w:szCs w:val="18"/>
              </w:rPr>
              <w:t xml:space="preserve">Action</w:t>
            </w:r>
          </w:p>
        </w:tc>
        <w:tc>
          <w:tcPr>
            <w:tcW w:type="dxa" w:w="4100"/>
            <w:shd w:fill="2B2B2B" w:val="clear"/>
            <w:tcMar>
              <w:top w:type="dxa" w:w="80"/>
              <w:left w:type="dxa" w:w="100"/>
              <w:bottom w:type="dxa" w:w="80"/>
              <w:right w:type="dxa" w:w="100"/>
            </w:tcMar>
          </w:tcPr>
          <w:p>
            <w:r>
              <w:rPr>
                <w:b/>
                <w:bCs/>
                <w:color w:val="FFFFFF"/>
                <w:sz w:val="18"/>
                <w:szCs w:val="18"/>
              </w:rPr>
              <w:t xml:space="preserve">Why</w:t>
            </w:r>
          </w:p>
        </w:tc>
      </w:tr>
      <w:tr>
        <w:tc>
          <w:tcPr>
            <w:tcW w:type="dxa" w:w="500"/>
            <w:shd w:fill="FFFFFF" w:val="clear"/>
            <w:tcMar>
              <w:top w:type="dxa" w:w="60"/>
              <w:left w:type="dxa" w:w="100"/>
              <w:bottom w:type="dxa" w:w="60"/>
              <w:right w:type="dxa" w:w="100"/>
            </w:tcMar>
          </w:tcPr>
          <w:p>
            <w:r>
              <w:rPr>
                <w:sz w:val="18"/>
                <w:szCs w:val="18"/>
              </w:rPr>
              <w:t xml:space="preserve">1</w:t>
            </w:r>
          </w:p>
        </w:tc>
        <w:tc>
          <w:tcPr>
            <w:tcW w:type="dxa" w:w="4400"/>
            <w:shd w:fill="FFFFFF" w:val="clear"/>
            <w:tcMar>
              <w:top w:type="dxa" w:w="60"/>
              <w:left w:type="dxa" w:w="100"/>
              <w:bottom w:type="dxa" w:w="60"/>
              <w:right w:type="dxa" w:w="100"/>
            </w:tcMar>
          </w:tcPr>
          <w:p>
            <w:r>
              <w:rPr>
                <w:sz w:val="18"/>
                <w:szCs w:val="18"/>
              </w:rPr>
              <w:t xml:space="preserve">Fix the hook-ordering bug in App.tsx (move the early return after all hooks) and Sidebar.tsx:225</w:t>
            </w:r>
          </w:p>
        </w:tc>
        <w:tc>
          <w:tcPr>
            <w:tcW w:type="dxa" w:w="4100"/>
            <w:shd w:fill="FFFFFF" w:val="clear"/>
            <w:tcMar>
              <w:top w:type="dxa" w:w="60"/>
              <w:left w:type="dxa" w:w="100"/>
              <w:bottom w:type="dxa" w:w="60"/>
              <w:right w:type="dxa" w:w="100"/>
            </w:tcMar>
          </w:tcPr>
          <w:p>
            <w:r>
              <w:rPr>
                <w:sz w:val="18"/>
                <w:szCs w:val="18"/>
              </w:rPr>
              <w:t xml:space="preserve">Live crash risk (Section 4.1) — highest priority</w:t>
            </w:r>
          </w:p>
        </w:tc>
      </w:tr>
      <w:tr>
        <w:tc>
          <w:tcPr>
            <w:tcW w:type="dxa" w:w="500"/>
            <w:shd w:fill="F5F5F5" w:val="clear"/>
            <w:tcMar>
              <w:top w:type="dxa" w:w="60"/>
              <w:left w:type="dxa" w:w="100"/>
              <w:bottom w:type="dxa" w:w="60"/>
              <w:right w:type="dxa" w:w="100"/>
            </w:tcMar>
          </w:tcPr>
          <w:p>
            <w:r>
              <w:rPr>
                <w:sz w:val="18"/>
                <w:szCs w:val="18"/>
              </w:rPr>
              <w:t xml:space="preserve">2</w:t>
            </w:r>
          </w:p>
        </w:tc>
        <w:tc>
          <w:tcPr>
            <w:tcW w:type="dxa" w:w="4400"/>
            <w:shd w:fill="F5F5F5" w:val="clear"/>
            <w:tcMar>
              <w:top w:type="dxa" w:w="60"/>
              <w:left w:type="dxa" w:w="100"/>
              <w:bottom w:type="dxa" w:w="60"/>
              <w:right w:type="dxa" w:w="100"/>
            </w:tcMar>
          </w:tcPr>
          <w:p>
            <w:r>
              <w:rPr>
                <w:sz w:val="18"/>
                <w:szCs w:val="18"/>
              </w:rPr>
              <w:t xml:space="preserve">Review the 28 set-state-in-effect and 17 purity findings (Section 4.2–4.3)</w:t>
            </w:r>
          </w:p>
        </w:tc>
        <w:tc>
          <w:tcPr>
            <w:tcW w:type="dxa" w:w="4100"/>
            <w:shd w:fill="F5F5F5" w:val="clear"/>
            <w:tcMar>
              <w:top w:type="dxa" w:w="60"/>
              <w:left w:type="dxa" w:w="100"/>
              <w:bottom w:type="dxa" w:w="60"/>
              <w:right w:type="dxa" w:w="100"/>
            </w:tcMar>
          </w:tcPr>
          <w:p>
            <w:r>
              <w:rPr>
                <w:sz w:val="18"/>
                <w:szCs w:val="18"/>
              </w:rPr>
              <w:t xml:space="preserve">New-to-this-scan correctness issues; not previously visible since TS wasn’t linted</w:t>
            </w:r>
          </w:p>
        </w:tc>
      </w:tr>
      <w:tr>
        <w:tc>
          <w:tcPr>
            <w:tcW w:type="dxa" w:w="500"/>
            <w:shd w:fill="FFFFFF" w:val="clear"/>
            <w:tcMar>
              <w:top w:type="dxa" w:w="60"/>
              <w:left w:type="dxa" w:w="100"/>
              <w:bottom w:type="dxa" w:w="60"/>
              <w:right w:type="dxa" w:w="100"/>
            </w:tcMar>
          </w:tcPr>
          <w:p>
            <w:r>
              <w:rPr>
                <w:sz w:val="18"/>
                <w:szCs w:val="18"/>
              </w:rPr>
              <w:t xml:space="preserve">3</w:t>
            </w:r>
          </w:p>
        </w:tc>
        <w:tc>
          <w:tcPr>
            <w:tcW w:type="dxa" w:w="4400"/>
            <w:shd w:fill="FFFFFF" w:val="clear"/>
            <w:tcMar>
              <w:top w:type="dxa" w:w="60"/>
              <w:left w:type="dxa" w:w="100"/>
              <w:bottom w:type="dxa" w:w="60"/>
              <w:right w:type="dxa" w:w="100"/>
            </w:tcMar>
          </w:tcPr>
          <w:p>
            <w:r>
              <w:rPr>
                <w:sz w:val="18"/>
                <w:szCs w:val="18"/>
              </w:rPr>
              <w:t xml:space="preserve">Run `npm run build` locally to confirm the app still compiles after this session’s changes</w:t>
            </w:r>
          </w:p>
        </w:tc>
        <w:tc>
          <w:tcPr>
            <w:tcW w:type="dxa" w:w="4100"/>
            <w:shd w:fill="FFFFFF" w:val="clear"/>
            <w:tcMar>
              <w:top w:type="dxa" w:w="60"/>
              <w:left w:type="dxa" w:w="100"/>
              <w:bottom w:type="dxa" w:w="60"/>
              <w:right w:type="dxa" w:w="100"/>
            </w:tcMar>
          </w:tcPr>
          <w:p>
            <w:r>
              <w:rPr>
                <w:sz w:val="18"/>
                <w:szCs w:val="18"/>
              </w:rPr>
              <w:t xml:space="preserve">Could not be verified in this sandbox (Section 2)</w:t>
            </w:r>
          </w:p>
        </w:tc>
      </w:tr>
      <w:tr>
        <w:tc>
          <w:tcPr>
            <w:tcW w:type="dxa" w:w="500"/>
            <w:shd w:fill="F5F5F5" w:val="clear"/>
            <w:tcMar>
              <w:top w:type="dxa" w:w="60"/>
              <w:left w:type="dxa" w:w="100"/>
              <w:bottom w:type="dxa" w:w="60"/>
              <w:right w:type="dxa" w:w="100"/>
            </w:tcMar>
          </w:tcPr>
          <w:p>
            <w:r>
              <w:rPr>
                <w:sz w:val="18"/>
                <w:szCs w:val="18"/>
              </w:rPr>
              <w:t xml:space="preserve">4</w:t>
            </w:r>
          </w:p>
        </w:tc>
        <w:tc>
          <w:tcPr>
            <w:tcW w:type="dxa" w:w="4400"/>
            <w:shd w:fill="F5F5F5" w:val="clear"/>
            <w:tcMar>
              <w:top w:type="dxa" w:w="60"/>
              <w:left w:type="dxa" w:w="100"/>
              <w:bottom w:type="dxa" w:w="60"/>
              <w:right w:type="dxa" w:w="100"/>
            </w:tcMar>
          </w:tcPr>
          <w:p>
            <w:r>
              <w:rPr>
                <w:sz w:val="18"/>
                <w:szCs w:val="18"/>
              </w:rPr>
              <w:t xml:space="preserve">Clear the 370 unused-var/import warnings, file by file</w:t>
            </w:r>
          </w:p>
        </w:tc>
        <w:tc>
          <w:tcPr>
            <w:tcW w:type="dxa" w:w="4100"/>
            <w:shd w:fill="F5F5F5" w:val="clear"/>
            <w:tcMar>
              <w:top w:type="dxa" w:w="60"/>
              <w:left w:type="dxa" w:w="100"/>
              <w:bottom w:type="dxa" w:w="60"/>
              <w:right w:type="dxa" w:w="100"/>
            </w:tcMar>
          </w:tcPr>
          <w:p>
            <w:r>
              <w:rPr>
                <w:sz w:val="18"/>
                <w:szCs w:val="18"/>
              </w:rPr>
              <w:t xml:space="preserve">Highest-leverage, lowest-risk cleanup; now visible for the first time</w:t>
            </w:r>
          </w:p>
        </w:tc>
      </w:tr>
      <w:tr>
        <w:tc>
          <w:tcPr>
            <w:tcW w:type="dxa" w:w="500"/>
            <w:shd w:fill="FFFFFF" w:val="clear"/>
            <w:tcMar>
              <w:top w:type="dxa" w:w="60"/>
              <w:left w:type="dxa" w:w="100"/>
              <w:bottom w:type="dxa" w:w="60"/>
              <w:right w:type="dxa" w:w="100"/>
            </w:tcMar>
          </w:tcPr>
          <w:p>
            <w:r>
              <w:rPr>
                <w:sz w:val="18"/>
                <w:szCs w:val="18"/>
              </w:rPr>
              <w:t xml:space="preserve">5</w:t>
            </w:r>
          </w:p>
        </w:tc>
        <w:tc>
          <w:tcPr>
            <w:tcW w:type="dxa" w:w="4400"/>
            <w:shd w:fill="FFFFFF" w:val="clear"/>
            <w:tcMar>
              <w:top w:type="dxa" w:w="60"/>
              <w:left w:type="dxa" w:w="100"/>
              <w:bottom w:type="dxa" w:w="60"/>
              <w:right w:type="dxa" w:w="100"/>
            </w:tcMar>
          </w:tcPr>
          <w:p>
            <w:r>
              <w:rPr>
                <w:sz w:val="18"/>
                <w:szCs w:val="18"/>
              </w:rPr>
              <w:t xml:space="preserve">Review and delete the 72 Tier-A orphaned files; spot-check the 95 Tier-B candidates</w:t>
            </w:r>
          </w:p>
        </w:tc>
        <w:tc>
          <w:tcPr>
            <w:tcW w:type="dxa" w:w="4100"/>
            <w:shd w:fill="FFFFFF" w:val="clear"/>
            <w:tcMar>
              <w:top w:type="dxa" w:w="60"/>
              <w:left w:type="dxa" w:w="100"/>
              <w:bottom w:type="dxa" w:w="60"/>
              <w:right w:type="dxa" w:w="100"/>
            </w:tcMar>
          </w:tcPr>
          <w:p>
            <w:r>
              <w:rPr>
                <w:sz w:val="18"/>
                <w:szCs w:val="18"/>
              </w:rPr>
              <w:t xml:space="preserve">Removes ~15% of the codebase’s file count</w:t>
            </w:r>
          </w:p>
        </w:tc>
      </w:tr>
      <w:tr>
        <w:tc>
          <w:tcPr>
            <w:tcW w:type="dxa" w:w="500"/>
            <w:shd w:fill="F5F5F5" w:val="clear"/>
            <w:tcMar>
              <w:top w:type="dxa" w:w="60"/>
              <w:left w:type="dxa" w:w="100"/>
              <w:bottom w:type="dxa" w:w="60"/>
              <w:right w:type="dxa" w:w="100"/>
            </w:tcMar>
          </w:tcPr>
          <w:p>
            <w:r>
              <w:rPr>
                <w:sz w:val="18"/>
                <w:szCs w:val="18"/>
              </w:rPr>
              <w:t xml:space="preserve">6</w:t>
            </w:r>
          </w:p>
        </w:tc>
        <w:tc>
          <w:tcPr>
            <w:tcW w:type="dxa" w:w="4400"/>
            <w:shd w:fill="F5F5F5" w:val="clear"/>
            <w:tcMar>
              <w:top w:type="dxa" w:w="60"/>
              <w:left w:type="dxa" w:w="100"/>
              <w:bottom w:type="dxa" w:w="60"/>
              <w:right w:type="dxa" w:w="100"/>
            </w:tcMar>
          </w:tcPr>
          <w:p>
            <w:r>
              <w:rPr>
                <w:sz w:val="18"/>
                <w:szCs w:val="18"/>
              </w:rPr>
              <w:t xml:space="preserve">Extract dateUtils.formatDate() and a currency-formatting utility; migrate the 73- and 60-file call sites</w:t>
            </w:r>
          </w:p>
        </w:tc>
        <w:tc>
          <w:tcPr>
            <w:tcW w:type="dxa" w:w="4100"/>
            <w:shd w:fill="F5F5F5" w:val="clear"/>
            <w:tcMar>
              <w:top w:type="dxa" w:w="60"/>
              <w:left w:type="dxa" w:w="100"/>
              <w:bottom w:type="dxa" w:w="60"/>
              <w:right w:type="dxa" w:w="100"/>
            </w:tcMar>
          </w:tcPr>
          <w:p>
            <w:r>
              <w:rPr>
                <w:sz w:val="18"/>
                <w:szCs w:val="18"/>
              </w:rPr>
              <w:t xml:space="preserve">Removes the largest duplication findings (Section 6)</w:t>
            </w:r>
          </w:p>
        </w:tc>
      </w:tr>
      <w:tr>
        <w:tc>
          <w:tcPr>
            <w:tcW w:type="dxa" w:w="500"/>
            <w:shd w:fill="FFFFFF" w:val="clear"/>
            <w:tcMar>
              <w:top w:type="dxa" w:w="60"/>
              <w:left w:type="dxa" w:w="100"/>
              <w:bottom w:type="dxa" w:w="60"/>
              <w:right w:type="dxa" w:w="100"/>
            </w:tcMar>
          </w:tcPr>
          <w:p>
            <w:r>
              <w:rPr>
                <w:sz w:val="18"/>
                <w:szCs w:val="18"/>
              </w:rPr>
              <w:t xml:space="preserve">7</w:t>
            </w:r>
          </w:p>
        </w:tc>
        <w:tc>
          <w:tcPr>
            <w:tcW w:type="dxa" w:w="4400"/>
            <w:shd w:fill="FFFFFF" w:val="clear"/>
            <w:tcMar>
              <w:top w:type="dxa" w:w="60"/>
              <w:left w:type="dxa" w:w="100"/>
              <w:bottom w:type="dxa" w:w="60"/>
              <w:right w:type="dxa" w:w="100"/>
            </w:tcMar>
          </w:tcPr>
          <w:p>
            <w:r>
              <w:rPr>
                <w:sz w:val="18"/>
                <w:szCs w:val="18"/>
              </w:rPr>
              <w:t xml:space="preserve">Add a shared STATUS constants/enum object and migrate off inline status strings</w:t>
            </w:r>
          </w:p>
        </w:tc>
        <w:tc>
          <w:tcPr>
            <w:tcW w:type="dxa" w:w="4100"/>
            <w:shd w:fill="FFFFFF" w:val="clear"/>
            <w:tcMar>
              <w:top w:type="dxa" w:w="60"/>
              <w:left w:type="dxa" w:w="100"/>
              <w:bottom w:type="dxa" w:w="60"/>
              <w:right w:type="dxa" w:w="100"/>
            </w:tcMar>
          </w:tcPr>
          <w:p>
            <w:r>
              <w:rPr>
                <w:sz w:val="18"/>
                <w:szCs w:val="18"/>
              </w:rPr>
              <w:t xml:space="preserve">Prevents status-string drift (Section 6.3)</w:t>
            </w:r>
          </w:p>
        </w:tc>
      </w:tr>
      <w:tr>
        <w:tc>
          <w:tcPr>
            <w:tcW w:type="dxa" w:w="500"/>
            <w:shd w:fill="F5F5F5" w:val="clear"/>
            <w:tcMar>
              <w:top w:type="dxa" w:w="60"/>
              <w:left w:type="dxa" w:w="100"/>
              <w:bottom w:type="dxa" w:w="60"/>
              <w:right w:type="dxa" w:w="100"/>
            </w:tcMar>
          </w:tcPr>
          <w:p>
            <w:r>
              <w:rPr>
                <w:sz w:val="18"/>
                <w:szCs w:val="18"/>
              </w:rPr>
              <w:t xml:space="preserve">8</w:t>
            </w:r>
          </w:p>
        </w:tc>
        <w:tc>
          <w:tcPr>
            <w:tcW w:type="dxa" w:w="4400"/>
            <w:shd w:fill="F5F5F5" w:val="clear"/>
            <w:tcMar>
              <w:top w:type="dxa" w:w="60"/>
              <w:left w:type="dxa" w:w="100"/>
              <w:bottom w:type="dxa" w:w="60"/>
              <w:right w:type="dxa" w:w="100"/>
            </w:tcMar>
          </w:tcPr>
          <w:p>
            <w:r>
              <w:rPr>
                <w:sz w:val="18"/>
                <w:szCs w:val="18"/>
              </w:rPr>
              <w:t xml:space="preserve">Wire ESLint into CI (`npm run lint` now works and covers the real codebase) with a 0-new-warnings gate</w:t>
            </w:r>
          </w:p>
        </w:tc>
        <w:tc>
          <w:tcPr>
            <w:tcW w:type="dxa" w:w="4100"/>
            <w:shd w:fill="F5F5F5" w:val="clear"/>
            <w:tcMar>
              <w:top w:type="dxa" w:w="60"/>
              <w:left w:type="dxa" w:w="100"/>
              <w:bottom w:type="dxa" w:w="60"/>
              <w:right w:type="dxa" w:w="100"/>
            </w:tcMar>
          </w:tcPr>
          <w:p>
            <w:r>
              <w:rPr>
                <w:sz w:val="18"/>
                <w:szCs w:val="18"/>
              </w:rPr>
              <w:t xml:space="preserve">Prevents regression now that the tooling is fixed</w:t>
            </w:r>
          </w:p>
        </w:tc>
      </w:tr>
      <w:tr>
        <w:tc>
          <w:tcPr>
            <w:tcW w:type="dxa" w:w="500"/>
            <w:shd w:fill="FFFFFF" w:val="clear"/>
            <w:tcMar>
              <w:top w:type="dxa" w:w="60"/>
              <w:left w:type="dxa" w:w="100"/>
              <w:bottom w:type="dxa" w:w="60"/>
              <w:right w:type="dxa" w:w="100"/>
            </w:tcMar>
          </w:tcPr>
          <w:p>
            <w:r>
              <w:rPr>
                <w:sz w:val="18"/>
                <w:szCs w:val="18"/>
              </w:rPr>
              <w:t xml:space="preserve">9</w:t>
            </w:r>
          </w:p>
        </w:tc>
        <w:tc>
          <w:tcPr>
            <w:tcW w:type="dxa" w:w="4400"/>
            <w:shd w:fill="FFFFFF" w:val="clear"/>
            <w:tcMar>
              <w:top w:type="dxa" w:w="60"/>
              <w:left w:type="dxa" w:w="100"/>
              <w:bottom w:type="dxa" w:w="60"/>
              <w:right w:type="dxa" w:w="100"/>
            </w:tcMar>
          </w:tcPr>
          <w:p>
            <w:r>
              <w:rPr>
                <w:sz w:val="18"/>
                <w:szCs w:val="18"/>
              </w:rPr>
              <w:t xml:space="preserve">Split PurchaseEntry.tsx and the other 500+ line files in Section 7</w:t>
            </w:r>
          </w:p>
        </w:tc>
        <w:tc>
          <w:tcPr>
            <w:tcW w:type="dxa" w:w="4100"/>
            <w:shd w:fill="FFFFFF" w:val="clear"/>
            <w:tcMar>
              <w:top w:type="dxa" w:w="60"/>
              <w:left w:type="dxa" w:w="100"/>
              <w:bottom w:type="dxa" w:w="60"/>
              <w:right w:type="dxa" w:w="100"/>
            </w:tcMar>
          </w:tcPr>
          <w:p>
            <w:r>
              <w:rPr>
                <w:sz w:val="18"/>
                <w:szCs w:val="18"/>
              </w:rPr>
              <w:t xml:space="preserve">Maintainability, per Section 21 of the standard</w:t>
            </w:r>
          </w:p>
        </w:tc>
      </w:tr>
    </w:tbl>
    <w:p>
      <w:pPr>
        <w:pStyle w:val="Heading1"/>
        <w:spacing w:after="200" w:before="400"/>
      </w:pPr>
      <w:r>
        <w:t xml:space="preserve">9. Fix-All Phase — Final Status</w:t>
      </w:r>
    </w:p>
    <w:p>
      <w:pPr>
        <w:spacing w:after="120"/>
      </w:pPr>
      <w:r>
        <w:rPr>
          <w:sz w:val="20"/>
          <w:szCs w:val="20"/>
        </w:rPr>
        <w:t xml:space="preserve">Following this report, the user requested every documented finding be addressed where it could be fixed safely without a working build/test loop (unavailable in this sandbox — see Section 2). This section records what changed and what was deliberately left, superseding Section 8’s recommendation list as the current state.</w:t>
      </w:r>
    </w:p>
    <w:p>
      <w:pPr>
        <w:pStyle w:val="Heading2"/>
        <w:spacing w:after="150" w:before="300"/>
      </w:pPr>
      <w:r>
        <w:t xml:space="preserve">9.1 — Fixed in this phase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B2B2B" w:val="clear"/>
            <w:tcMar>
              <w:top w:type="dxa" w:w="80"/>
              <w:left w:type="dxa" w:w="100"/>
              <w:bottom w:type="dxa" w:w="80"/>
              <w:right w:type="dxa" w:w="100"/>
            </w:tcMar>
          </w:tcPr>
          <w:p>
            <w:r>
              <w:rPr>
                <w:b/>
                <w:bCs/>
                <w:color w:val="FFFFFF"/>
                <w:sz w:val="18"/>
                <w:szCs w:val="18"/>
              </w:rPr>
              <w:t xml:space="preserve">Area</w:t>
            </w:r>
          </w:p>
        </w:tc>
        <w:tc>
          <w:tcPr>
            <w:tcW w:type="dxa" w:w="6000"/>
            <w:shd w:fill="2B2B2B" w:val="clear"/>
            <w:tcMar>
              <w:top w:type="dxa" w:w="80"/>
              <w:left w:type="dxa" w:w="100"/>
              <w:bottom w:type="dxa" w:w="80"/>
              <w:right w:type="dxa" w:w="100"/>
            </w:tcMar>
          </w:tcPr>
          <w:p>
            <w:r>
              <w:rPr>
                <w:b/>
                <w:bCs/>
                <w:color w:val="FFFFFF"/>
                <w:sz w:val="18"/>
                <w:szCs w:val="18"/>
              </w:rPr>
              <w:t xml:space="preserve">Result</w:t>
            </w:r>
          </w:p>
        </w:tc>
      </w:tr>
      <w:tr>
        <w:tc>
          <w:tcPr>
            <w:tcW w:type="dxa" w:w="3000"/>
            <w:shd w:fill="FFFFFF" w:val="clear"/>
            <w:tcMar>
              <w:top w:type="dxa" w:w="60"/>
              <w:left w:type="dxa" w:w="100"/>
              <w:bottom w:type="dxa" w:w="60"/>
              <w:right w:type="dxa" w:w="100"/>
            </w:tcMar>
          </w:tcPr>
          <w:p>
            <w:r>
              <w:rPr>
                <w:sz w:val="18"/>
                <w:szCs w:val="18"/>
              </w:rPr>
              <w:t xml:space="preserve">Hook-ordering crash (App.tsx, Sidebar.tsx)</w:t>
            </w:r>
          </w:p>
        </w:tc>
        <w:tc>
          <w:tcPr>
            <w:tcW w:type="dxa" w:w="6000"/>
            <w:shd w:fill="FFFFFF" w:val="clear"/>
            <w:tcMar>
              <w:top w:type="dxa" w:w="60"/>
              <w:left w:type="dxa" w:w="100"/>
              <w:bottom w:type="dxa" w:w="60"/>
              <w:right w:type="dxa" w:w="100"/>
            </w:tcMar>
          </w:tcPr>
          <w:p>
            <w:r>
              <w:rPr>
                <w:sz w:val="18"/>
                <w:szCs w:val="18"/>
              </w:rPr>
              <w:t xml:space="preserve">Fixed — early return moved after all hooks; conditional useConfig() call consolidated</w:t>
            </w:r>
          </w:p>
        </w:tc>
      </w:tr>
      <w:tr>
        <w:tc>
          <w:tcPr>
            <w:tcW w:type="dxa" w:w="3000"/>
            <w:shd w:fill="F5F5F5" w:val="clear"/>
            <w:tcMar>
              <w:top w:type="dxa" w:w="60"/>
              <w:left w:type="dxa" w:w="100"/>
              <w:bottom w:type="dxa" w:w="60"/>
              <w:right w:type="dxa" w:w="100"/>
            </w:tcMar>
          </w:tcPr>
          <w:p>
            <w:r>
              <w:rPr>
                <w:sz w:val="18"/>
                <w:szCs w:val="18"/>
              </w:rPr>
              <w:t xml:space="preserve">react-hooks/static-components (34 findings)</w:t>
            </w:r>
          </w:p>
        </w:tc>
        <w:tc>
          <w:tcPr>
            <w:tcW w:type="dxa" w:w="6000"/>
            <w:shd w:fill="F5F5F5" w:val="clear"/>
            <w:tcMar>
              <w:top w:type="dxa" w:w="60"/>
              <w:left w:type="dxa" w:w="100"/>
              <w:bottom w:type="dxa" w:w="60"/>
              <w:right w:type="dxa" w:w="100"/>
            </w:tcMar>
          </w:tcPr>
          <w:p>
            <w:r>
              <w:rPr>
                <w:sz w:val="18"/>
                <w:szCs w:val="18"/>
              </w:rPr>
              <w:t xml:space="preserve">32 fixed (components moved to module scope, closures threaded as props); 2 left — Transfers.tsx’s AccountPulse closes over 3 pieces of form state, too invasive to move without a build to verify against</w:t>
            </w:r>
          </w:p>
        </w:tc>
      </w:tr>
      <w:tr>
        <w:tc>
          <w:tcPr>
            <w:tcW w:type="dxa" w:w="3000"/>
            <w:shd w:fill="FFFFFF" w:val="clear"/>
            <w:tcMar>
              <w:top w:type="dxa" w:w="60"/>
              <w:left w:type="dxa" w:w="100"/>
              <w:bottom w:type="dxa" w:w="60"/>
              <w:right w:type="dxa" w:w="100"/>
            </w:tcMar>
          </w:tcPr>
          <w:p>
            <w:r>
              <w:rPr>
                <w:sz w:val="18"/>
                <w:szCs w:val="18"/>
              </w:rPr>
              <w:t xml:space="preserve">react-hooks/purity — Math.random/Date.now in render (17 findings)</w:t>
            </w:r>
          </w:p>
        </w:tc>
        <w:tc>
          <w:tcPr>
            <w:tcW w:type="dxa" w:w="6000"/>
            <w:shd w:fill="FFFFFF" w:val="clear"/>
            <w:tcMar>
              <w:top w:type="dxa" w:w="60"/>
              <w:left w:type="dxa" w:w="100"/>
              <w:bottom w:type="dxa" w:w="60"/>
              <w:right w:type="dxa" w:w="100"/>
            </w:tcMar>
          </w:tcPr>
          <w:p>
            <w:r>
              <w:rPr>
                <w:sz w:val="18"/>
                <w:szCs w:val="18"/>
              </w:rPr>
              <w:t xml:space="preserve">Fixed — deterministic hashing, lazy useState initializers, or scoped eslint-disable with written justification for genuine business-logic timestamps</w:t>
            </w:r>
          </w:p>
        </w:tc>
      </w:tr>
      <w:tr>
        <w:tc>
          <w:tcPr>
            <w:tcW w:type="dxa" w:w="3000"/>
            <w:shd w:fill="F5F5F5" w:val="clear"/>
            <w:tcMar>
              <w:top w:type="dxa" w:w="60"/>
              <w:left w:type="dxa" w:w="100"/>
              <w:bottom w:type="dxa" w:w="60"/>
              <w:right w:type="dxa" w:w="100"/>
            </w:tcMar>
          </w:tcPr>
          <w:p>
            <w:r>
              <w:rPr>
                <w:sz w:val="18"/>
                <w:szCs w:val="18"/>
              </w:rPr>
              <w:t xml:space="preserve">Unused imports/vars (370 findings)</w:t>
            </w:r>
          </w:p>
        </w:tc>
        <w:tc>
          <w:tcPr>
            <w:tcW w:type="dxa" w:w="6000"/>
            <w:shd w:fill="F5F5F5" w:val="clear"/>
            <w:tcMar>
              <w:top w:type="dxa" w:w="60"/>
              <w:left w:type="dxa" w:w="100"/>
              <w:bottom w:type="dxa" w:w="60"/>
              <w:right w:type="dxa" w:w="100"/>
            </w:tcMar>
          </w:tcPr>
          <w:p>
            <w:r>
              <w:rPr>
                <w:sz w:val="18"/>
                <w:szCs w:val="18"/>
              </w:rPr>
              <w:t xml:space="preserve">301 removed automatically; 69 remain as intentionally-unused function parameters (interface conformance) or genuinely ambiguous cases, prefixed with _ and left as warnings rather than force-deleted</w:t>
            </w:r>
          </w:p>
        </w:tc>
      </w:tr>
      <w:tr>
        <w:tc>
          <w:tcPr>
            <w:tcW w:type="dxa" w:w="3000"/>
            <w:shd w:fill="FFFFFF" w:val="clear"/>
            <w:tcMar>
              <w:top w:type="dxa" w:w="60"/>
              <w:left w:type="dxa" w:w="100"/>
              <w:bottom w:type="dxa" w:w="60"/>
              <w:right w:type="dxa" w:w="100"/>
            </w:tcMar>
          </w:tcPr>
          <w:p>
            <w:r>
              <w:rPr>
                <w:sz w:val="18"/>
                <w:szCs w:val="18"/>
              </w:rPr>
              <w:t xml:space="preserve">Orphaned files</w:t>
            </w:r>
          </w:p>
        </w:tc>
        <w:tc>
          <w:tcPr>
            <w:tcW w:type="dxa" w:w="6000"/>
            <w:shd w:fill="FFFFFF" w:val="clear"/>
            <w:tcMar>
              <w:top w:type="dxa" w:w="60"/>
              <w:left w:type="dxa" w:w="100"/>
              <w:bottom w:type="dxa" w:w="60"/>
              <w:right w:type="dxa" w:w="100"/>
            </w:tcMar>
          </w:tcPr>
          <w:p>
            <w:r>
              <w:rPr>
                <w:sz w:val="18"/>
                <w:szCs w:val="18"/>
              </w:rPr>
              <w:t xml:space="preserve">70 Tier-A (zero references) files deleted and verified with a dangling-reference re-scan; the 95 Tier-B "maybe used" candidates were left for manual review — text-match confidence was too low to delete unseen</w:t>
            </w:r>
          </w:p>
        </w:tc>
      </w:tr>
      <w:tr>
        <w:tc>
          <w:tcPr>
            <w:tcW w:type="dxa" w:w="3000"/>
            <w:shd w:fill="F5F5F5" w:val="clear"/>
            <w:tcMar>
              <w:top w:type="dxa" w:w="60"/>
              <w:left w:type="dxa" w:w="100"/>
              <w:bottom w:type="dxa" w:w="60"/>
              <w:right w:type="dxa" w:w="100"/>
            </w:tcMar>
          </w:tcPr>
          <w:p>
            <w:r>
              <w:rPr>
                <w:sz w:val="18"/>
                <w:szCs w:val="18"/>
              </w:rPr>
              <w:t xml:space="preserve">dateUtils extraction</w:t>
            </w:r>
          </w:p>
        </w:tc>
        <w:tc>
          <w:tcPr>
            <w:tcW w:type="dxa" w:w="6000"/>
            <w:shd w:fill="F5F5F5" w:val="clear"/>
            <w:tcMar>
              <w:top w:type="dxa" w:w="60"/>
              <w:left w:type="dxa" w:w="100"/>
              <w:bottom w:type="dxa" w:w="60"/>
              <w:right w:type="dxa" w:w="100"/>
            </w:tcMar>
          </w:tcPr>
          <w:p>
            <w:r>
              <w:rPr>
                <w:sz w:val="18"/>
                <w:szCs w:val="18"/>
              </w:rPr>
              <w:t xml:space="preserve">Added formatDate() to utils/helpers.ts; migrated the 29 call sites using the exact no-argument toLocaleDateString() pattern. A scripted migration bug (import inserted mid-way through an existing multi-line import block) broke 4 of the 29 files; all 4 were found and fixed, and the full batch was re-verified with zero parse errors afterward</w:t>
            </w:r>
          </w:p>
        </w:tc>
      </w:tr>
      <w:tr>
        <w:tc>
          <w:tcPr>
            <w:tcW w:type="dxa" w:w="3000"/>
            <w:shd w:fill="FFFFFF" w:val="clear"/>
            <w:tcMar>
              <w:top w:type="dxa" w:w="60"/>
              <w:left w:type="dxa" w:w="100"/>
              <w:bottom w:type="dxa" w:w="60"/>
              <w:right w:type="dxa" w:w="100"/>
            </w:tcMar>
          </w:tcPr>
          <w:p>
            <w:r>
              <w:rPr>
                <w:sz w:val="18"/>
                <w:szCs w:val="18"/>
              </w:rPr>
              <w:t xml:space="preserve">Dead code — commented-out blocks</w:t>
            </w:r>
          </w:p>
        </w:tc>
        <w:tc>
          <w:tcPr>
            <w:tcW w:type="dxa" w:w="6000"/>
            <w:shd w:fill="FFFFFF" w:val="clear"/>
            <w:tcMar>
              <w:top w:type="dxa" w:w="60"/>
              <w:left w:type="dxa" w:w="100"/>
              <w:bottom w:type="dxa" w:w="60"/>
              <w:right w:type="dxa" w:w="100"/>
            </w:tcMar>
          </w:tcPr>
          <w:p>
            <w:r>
              <w:rPr>
                <w:sz w:val="18"/>
                <w:szCs w:val="18"/>
              </w:rPr>
              <w:t xml:space="preserve">3 genuine dead blocks removed (POSCartGrid.tsx matrix-modal state, PurchaseEntry.tsx PDF-download call, types/purchase.ts legacy fields). The other ~19 flagged blocks were explanatory prose comments, not dead code, and were left in place</w:t>
            </w:r>
          </w:p>
        </w:tc>
      </w:tr>
      <w:tr>
        <w:tc>
          <w:tcPr>
            <w:tcW w:type="dxa" w:w="3000"/>
            <w:shd w:fill="F5F5F5" w:val="clear"/>
            <w:tcMar>
              <w:top w:type="dxa" w:w="60"/>
              <w:left w:type="dxa" w:w="100"/>
              <w:bottom w:type="dxa" w:w="60"/>
              <w:right w:type="dxa" w:w="100"/>
            </w:tcMar>
          </w:tcPr>
          <w:p>
            <w:r>
              <w:rPr>
                <w:sz w:val="18"/>
                <w:szCs w:val="18"/>
              </w:rPr>
              <w:t xml:space="preserve">Dead code — console.log</w:t>
            </w:r>
          </w:p>
        </w:tc>
        <w:tc>
          <w:tcPr>
            <w:tcW w:type="dxa" w:w="6000"/>
            <w:shd w:fill="F5F5F5" w:val="clear"/>
            <w:tcMar>
              <w:top w:type="dxa" w:w="60"/>
              <w:left w:type="dxa" w:w="100"/>
              <w:bottom w:type="dxa" w:w="60"/>
              <w:right w:type="dxa" w:w="100"/>
            </w:tcMar>
          </w:tcPr>
          <w:p>
            <w:r>
              <w:rPr>
                <w:sz w:val="18"/>
                <w:szCs w:val="18"/>
              </w:rPr>
              <w:t xml:space="preserve">18 leftover debug statements removed across 7 files (Sidebar.tsx, usePermissions.ts, Dashboard.tsx, POSHeader.tsx, SalaryStructureManager.tsx, PurchaseEntry.tsx, PurchaseExpress.tsx)</w:t>
            </w:r>
          </w:p>
        </w:tc>
      </w:tr>
      <w:tr>
        <w:tc>
          <w:tcPr>
            <w:tcW w:type="dxa" w:w="3000"/>
            <w:shd w:fill="FFFFFF" w:val="clear"/>
            <w:tcMar>
              <w:top w:type="dxa" w:w="60"/>
              <w:left w:type="dxa" w:w="100"/>
              <w:bottom w:type="dxa" w:w="60"/>
              <w:right w:type="dxa" w:w="100"/>
            </w:tcMar>
          </w:tcPr>
          <w:p>
            <w:r>
              <w:rPr>
                <w:sz w:val="18"/>
                <w:szCs w:val="18"/>
              </w:rPr>
              <w:t xml:space="preserve">no-useless-escape</w:t>
            </w:r>
          </w:p>
        </w:tc>
        <w:tc>
          <w:tcPr>
            <w:tcW w:type="dxa" w:w="6000"/>
            <w:shd w:fill="FFFFFF" w:val="clear"/>
            <w:tcMar>
              <w:top w:type="dxa" w:w="60"/>
              <w:left w:type="dxa" w:w="100"/>
              <w:bottom w:type="dxa" w:w="60"/>
              <w:right w:type="dxa" w:w="100"/>
            </w:tcMar>
          </w:tcPr>
          <w:p>
            <w:r>
              <w:rPr>
                <w:sz w:val="18"/>
                <w:szCs w:val="18"/>
              </w:rPr>
              <w:t xml:space="preserve">Fixed (PurchaseEntry.tsx regex character class)</w:t>
            </w:r>
          </w:p>
        </w:tc>
      </w:tr>
    </w:tbl>
    <w:p>
      <w:pPr>
        <w:pStyle w:val="Heading2"/>
        <w:spacing w:after="150" w:before="300"/>
      </w:pPr>
      <w:r>
        <w:t xml:space="preserve">9.2 — Deliberately not force-migrated</w:t>
      </w:r>
    </w:p>
    <w:p>
      <w:pPr>
        <w:pStyle w:val="ListParagraph"/>
        <w:numPr>
          <w:ilvl w:val="0"/>
          <w:numId w:val="1"/>
        </w:numPr>
        <w:spacing w:after="80"/>
      </w:pPr>
      <w:r>
        <w:rPr>
          <w:sz w:val="20"/>
          <w:szCs w:val="20"/>
        </w:rPr>
        <w:t xml:space="preserve">formatCurrency / .toFixed(2) call sites — recommend migrating to the existing formatCurrency() in utils/helpers.ts, but left as-is: the ~60 call sites weren’t all confirmed to use the same INR/2-decimal shape, and a wrong bulk migration would silently change what’s on screen without visual QA.</w:t>
      </w:r>
    </w:p>
    <w:p>
      <w:pPr>
        <w:pStyle w:val="ListParagraph"/>
        <w:numPr>
          <w:ilvl w:val="0"/>
          <w:numId w:val="1"/>
        </w:numPr>
        <w:spacing w:after="80"/>
      </w:pPr>
      <w:r>
        <w:rPr>
          <w:sz w:val="20"/>
          <w:szCs w:val="20"/>
        </w:rPr>
        <w:t xml:space="preserve">Inline status strings — recommend a shared STATUS constants object per Section 6.3, but the ~40+ call sites span multiple domains (purchase, sales, HR) with different valid value sets; introducing one shared enum without confirming each domain’s actual allowed values risks narrowing what the UI currently accepts.</w:t>
      </w:r>
    </w:p>
    <w:p>
      <w:pPr>
        <w:pStyle w:val="ListParagraph"/>
        <w:numPr>
          <w:ilvl w:val="0"/>
          <w:numId w:val="1"/>
        </w:numPr>
        <w:spacing w:after="80"/>
      </w:pPr>
      <w:r>
        <w:rPr>
          <w:sz w:val="20"/>
          <w:szCs w:val="20"/>
        </w:rPr>
        <w:t xml:space="preserve">69 remaining unused-vars and the 2 remaining static-components — left with reasoning above; none are correctness risks, only lint noise.</w:t>
      </w:r>
    </w:p>
    <w:p>
      <w:pPr>
        <w:pStyle w:val="ListParagraph"/>
        <w:numPr>
          <w:ilvl w:val="0"/>
          <w:numId w:val="1"/>
        </w:numPr>
        <w:spacing w:after="80"/>
      </w:pPr>
      <w:r>
        <w:rPr>
          <w:sz w:val="20"/>
          <w:szCs w:val="20"/>
        </w:rPr>
        <w:t xml:space="preserve">95 Tier-B orphan-file candidates — left for manual review; text-match "maybe used" confidence isn’t enough to delete a file unseen.</w:t>
      </w:r>
    </w:p>
    <w:p>
      <w:pPr>
        <w:pStyle w:val="Heading2"/>
        <w:spacing w:after="150" w:before="300"/>
      </w:pPr>
      <w:r>
        <w:t xml:space="preserve">9.3 — Newly visible findings, not in original scope</w:t>
      </w:r>
    </w:p>
    <w:p>
      <w:pPr>
        <w:spacing w:after="120"/>
      </w:pPr>
      <w:r>
        <w:rPr>
          <w:color w:val="555555"/>
          <w:sz w:val="20"/>
          <w:szCs w:val="20"/>
        </w:rPr>
        <w:t xml:space="preserve">Enabling the TypeScript + newer hooks rules (Section 3.1) surfaced several rule categories not itemized in the original report body, all pre-existing (not introduced by this session’s edits) and left untouched pending a build/test loop: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600"/>
      </w:tblGrid>
      <w:tr>
        <w:trPr>
          <w:tblHeader/>
        </w:trPr>
        <w:tc>
          <w:tcPr>
            <w:tcW w:type="dxa" w:w="4200"/>
            <w:shd w:fill="2B2B2B" w:val="clear"/>
            <w:tcMar>
              <w:top w:type="dxa" w:w="80"/>
              <w:left w:type="dxa" w:w="100"/>
              <w:bottom w:type="dxa" w:w="80"/>
              <w:right w:type="dxa" w:w="100"/>
            </w:tcMar>
          </w:tcPr>
          <w:p>
            <w:r>
              <w:rPr>
                <w:b/>
                <w:bCs/>
                <w:color w:val="FFFFFF"/>
                <w:sz w:val="18"/>
                <w:szCs w:val="18"/>
              </w:rPr>
              <w:t xml:space="preserve">Rule</w:t>
            </w:r>
          </w:p>
        </w:tc>
        <w:tc>
          <w:tcPr>
            <w:tcW w:type="dxa" w:w="1200"/>
            <w:shd w:fill="2B2B2B" w:val="clear"/>
            <w:tcMar>
              <w:top w:type="dxa" w:w="80"/>
              <w:left w:type="dxa" w:w="100"/>
              <w:bottom w:type="dxa" w:w="80"/>
              <w:right w:type="dxa" w:w="100"/>
            </w:tcMar>
          </w:tcPr>
          <w:p>
            <w:r>
              <w:rPr>
                <w:b/>
                <w:bCs/>
                <w:color w:val="FFFFFF"/>
                <w:sz w:val="18"/>
                <w:szCs w:val="18"/>
              </w:rPr>
              <w:t xml:space="preserve">Count</w:t>
            </w:r>
          </w:p>
        </w:tc>
        <w:tc>
          <w:tcPr>
            <w:tcW w:type="dxa" w:w="3600"/>
            <w:shd w:fill="2B2B2B" w:val="clear"/>
            <w:tcMar>
              <w:top w:type="dxa" w:w="80"/>
              <w:left w:type="dxa" w:w="100"/>
              <w:bottom w:type="dxa" w:w="80"/>
              <w:right w:type="dxa" w:w="100"/>
            </w:tcMar>
          </w:tcPr>
          <w:p>
            <w:r>
              <w:rPr>
                <w:b/>
                <w:bCs/>
                <w:color w:val="FFFFFF"/>
                <w:sz w:val="18"/>
                <w:szCs w:val="18"/>
              </w:rPr>
              <w:t xml:space="preserve">Note</w:t>
            </w:r>
          </w:p>
        </w:tc>
      </w:tr>
      <w:tr>
        <w:tc>
          <w:tcPr>
            <w:tcW w:type="dxa" w:w="4200"/>
            <w:shd w:fill="FFFFFF" w:val="clear"/>
            <w:tcMar>
              <w:top w:type="dxa" w:w="60"/>
              <w:left w:type="dxa" w:w="100"/>
              <w:bottom w:type="dxa" w:w="60"/>
              <w:right w:type="dxa" w:w="100"/>
            </w:tcMar>
          </w:tcPr>
          <w:p>
            <w:r>
              <w:rPr>
                <w:sz w:val="18"/>
                <w:szCs w:val="18"/>
              </w:rPr>
              <w:t xml:space="preserve">react-hooks/set-state-in-effect</w:t>
            </w:r>
          </w:p>
        </w:tc>
        <w:tc>
          <w:tcPr>
            <w:tcW w:type="dxa" w:w="1200"/>
            <w:shd w:fill="FFFFFF" w:val="clear"/>
            <w:tcMar>
              <w:top w:type="dxa" w:w="60"/>
              <w:left w:type="dxa" w:w="100"/>
              <w:bottom w:type="dxa" w:w="60"/>
              <w:right w:type="dxa" w:w="100"/>
            </w:tcMar>
          </w:tcPr>
          <w:p>
            <w:r>
              <w:rPr>
                <w:sz w:val="18"/>
                <w:szCs w:val="18"/>
              </w:rPr>
              <w:t xml:space="preserve">23</w:t>
            </w:r>
          </w:p>
        </w:tc>
        <w:tc>
          <w:tcPr>
            <w:tcW w:type="dxa" w:w="3600"/>
            <w:shd w:fill="FFFFFF" w:val="clear"/>
            <w:tcMar>
              <w:top w:type="dxa" w:w="60"/>
              <w:left w:type="dxa" w:w="100"/>
              <w:bottom w:type="dxa" w:w="60"/>
              <w:right w:type="dxa" w:w="100"/>
            </w:tcMar>
          </w:tcPr>
          <w:p>
            <w:r>
              <w:rPr>
                <w:sz w:val="18"/>
                <w:szCs w:val="18"/>
              </w:rPr>
              <w:t xml:space="preserve">setState called synchronously inside an effect body — cascading-render risk, not a crash</w:t>
            </w:r>
          </w:p>
        </w:tc>
      </w:tr>
      <w:tr>
        <w:tc>
          <w:tcPr>
            <w:tcW w:type="dxa" w:w="4200"/>
            <w:shd w:fill="F5F5F5" w:val="clear"/>
            <w:tcMar>
              <w:top w:type="dxa" w:w="60"/>
              <w:left w:type="dxa" w:w="100"/>
              <w:bottom w:type="dxa" w:w="60"/>
              <w:right w:type="dxa" w:w="100"/>
            </w:tcMar>
          </w:tcPr>
          <w:p>
            <w:r>
              <w:rPr>
                <w:sz w:val="18"/>
                <w:szCs w:val="18"/>
              </w:rPr>
              <w:t xml:space="preserve">react-hooks/immutability</w:t>
            </w:r>
          </w:p>
        </w:tc>
        <w:tc>
          <w:tcPr>
            <w:tcW w:type="dxa" w:w="1200"/>
            <w:shd w:fill="F5F5F5" w:val="clear"/>
            <w:tcMar>
              <w:top w:type="dxa" w:w="60"/>
              <w:left w:type="dxa" w:w="100"/>
              <w:bottom w:type="dxa" w:w="60"/>
              <w:right w:type="dxa" w:w="100"/>
            </w:tcMar>
          </w:tcPr>
          <w:p>
            <w:r>
              <w:rPr>
                <w:sz w:val="18"/>
                <w:szCs w:val="18"/>
              </w:rPr>
              <w:t xml:space="preserve">7</w:t>
            </w:r>
          </w:p>
        </w:tc>
        <w:tc>
          <w:tcPr>
            <w:tcW w:type="dxa" w:w="3600"/>
            <w:shd w:fill="F5F5F5" w:val="clear"/>
            <w:tcMar>
              <w:top w:type="dxa" w:w="60"/>
              <w:left w:type="dxa" w:w="100"/>
              <w:bottom w:type="dxa" w:w="60"/>
              <w:right w:type="dxa" w:w="100"/>
            </w:tcMar>
          </w:tcPr>
          <w:p>
            <w:r>
              <w:rPr>
                <w:sz w:val="18"/>
                <w:szCs w:val="18"/>
              </w:rPr>
              <w:t xml:space="preserve">refs/props mutated directly, e.g. POSCartGrid.tsx’s cartQtyRefs.current[id] = el</w:t>
            </w:r>
          </w:p>
        </w:tc>
      </w:tr>
      <w:tr>
        <w:tc>
          <w:tcPr>
            <w:tcW w:type="dxa" w:w="4200"/>
            <w:shd w:fill="FFFFFF" w:val="clear"/>
            <w:tcMar>
              <w:top w:type="dxa" w:w="60"/>
              <w:left w:type="dxa" w:w="100"/>
              <w:bottom w:type="dxa" w:w="60"/>
              <w:right w:type="dxa" w:w="100"/>
            </w:tcMar>
          </w:tcPr>
          <w:p>
            <w:r>
              <w:rPr>
                <w:sz w:val="18"/>
                <w:szCs w:val="18"/>
              </w:rPr>
              <w:t xml:space="preserve">react-hooks/refs</w:t>
            </w:r>
          </w:p>
        </w:tc>
        <w:tc>
          <w:tcPr>
            <w:tcW w:type="dxa" w:w="1200"/>
            <w:shd w:fill="FFFFFF" w:val="clear"/>
            <w:tcMar>
              <w:top w:type="dxa" w:w="60"/>
              <w:left w:type="dxa" w:w="100"/>
              <w:bottom w:type="dxa" w:w="60"/>
              <w:right w:type="dxa" w:w="100"/>
            </w:tcMar>
          </w:tcPr>
          <w:p>
            <w:r>
              <w:rPr>
                <w:sz w:val="18"/>
                <w:szCs w:val="18"/>
              </w:rPr>
              <w:t xml:space="preserve">5</w:t>
            </w:r>
          </w:p>
        </w:tc>
        <w:tc>
          <w:tcPr>
            <w:tcW w:type="dxa" w:w="3600"/>
            <w:shd w:fill="FFFFFF" w:val="clear"/>
            <w:tcMar>
              <w:top w:type="dxa" w:w="60"/>
              <w:left w:type="dxa" w:w="100"/>
              <w:bottom w:type="dxa" w:w="60"/>
              <w:right w:type="dxa" w:w="100"/>
            </w:tcMar>
          </w:tcPr>
          <w:p>
            <w:r>
              <w:rPr>
                <w:sz w:val="18"/>
                <w:szCs w:val="18"/>
              </w:rPr>
              <w:t xml:space="preserve">ref read/write outside an event handler or effect</w:t>
            </w:r>
          </w:p>
        </w:tc>
      </w:tr>
      <w:tr>
        <w:tc>
          <w:tcPr>
            <w:tcW w:type="dxa" w:w="4200"/>
            <w:shd w:fill="F5F5F5" w:val="clear"/>
            <w:tcMar>
              <w:top w:type="dxa" w:w="60"/>
              <w:left w:type="dxa" w:w="100"/>
              <w:bottom w:type="dxa" w:w="60"/>
              <w:right w:type="dxa" w:w="100"/>
            </w:tcMar>
          </w:tcPr>
          <w:p>
            <w:r>
              <w:rPr>
                <w:sz w:val="18"/>
                <w:szCs w:val="18"/>
              </w:rPr>
              <w:t xml:space="preserve">react-refresh/only-export-components</w:t>
            </w:r>
          </w:p>
        </w:tc>
        <w:tc>
          <w:tcPr>
            <w:tcW w:type="dxa" w:w="1200"/>
            <w:shd w:fill="F5F5F5" w:val="clear"/>
            <w:tcMar>
              <w:top w:type="dxa" w:w="60"/>
              <w:left w:type="dxa" w:w="100"/>
              <w:bottom w:type="dxa" w:w="60"/>
              <w:right w:type="dxa" w:w="100"/>
            </w:tcMar>
          </w:tcPr>
          <w:p>
            <w:r>
              <w:rPr>
                <w:sz w:val="18"/>
                <w:szCs w:val="18"/>
              </w:rPr>
              <w:t xml:space="preserve">5</w:t>
            </w:r>
          </w:p>
        </w:tc>
        <w:tc>
          <w:tcPr>
            <w:tcW w:type="dxa" w:w="3600"/>
            <w:shd w:fill="F5F5F5" w:val="clear"/>
            <w:tcMar>
              <w:top w:type="dxa" w:w="60"/>
              <w:left w:type="dxa" w:w="100"/>
              <w:bottom w:type="dxa" w:w="60"/>
              <w:right w:type="dxa" w:w="100"/>
            </w:tcMar>
          </w:tcPr>
          <w:p>
            <w:r>
              <w:rPr>
                <w:sz w:val="18"/>
                <w:szCs w:val="18"/>
              </w:rPr>
              <w:t xml:space="preserve">a file exports both a component and a non-component value — breaks Fast Refresh, no runtime impact</w:t>
            </w:r>
          </w:p>
        </w:tc>
      </w:tr>
      <w:tr>
        <w:tc>
          <w:tcPr>
            <w:tcW w:type="dxa" w:w="4200"/>
            <w:shd w:fill="FFFFFF" w:val="clear"/>
            <w:tcMar>
              <w:top w:type="dxa" w:w="60"/>
              <w:left w:type="dxa" w:w="100"/>
              <w:bottom w:type="dxa" w:w="60"/>
              <w:right w:type="dxa" w:w="100"/>
            </w:tcMar>
          </w:tcPr>
          <w:p>
            <w:r>
              <w:rPr>
                <w:sz w:val="18"/>
                <w:szCs w:val="18"/>
              </w:rPr>
              <w:t xml:space="preserve">react-hooks/preserve-manual-memoization</w:t>
            </w:r>
          </w:p>
        </w:tc>
        <w:tc>
          <w:tcPr>
            <w:tcW w:type="dxa" w:w="1200"/>
            <w:shd w:fill="FFFFFF" w:val="clear"/>
            <w:tcMar>
              <w:top w:type="dxa" w:w="60"/>
              <w:left w:type="dxa" w:w="100"/>
              <w:bottom w:type="dxa" w:w="60"/>
              <w:right w:type="dxa" w:w="100"/>
            </w:tcMar>
          </w:tcPr>
          <w:p>
            <w:r>
              <w:rPr>
                <w:sz w:val="18"/>
                <w:szCs w:val="18"/>
              </w:rPr>
              <w:t xml:space="preserve">3</w:t>
            </w:r>
          </w:p>
        </w:tc>
        <w:tc>
          <w:tcPr>
            <w:tcW w:type="dxa" w:w="3600"/>
            <w:shd w:fill="FFFFFF" w:val="clear"/>
            <w:tcMar>
              <w:top w:type="dxa" w:w="60"/>
              <w:left w:type="dxa" w:w="100"/>
              <w:bottom w:type="dxa" w:w="60"/>
              <w:right w:type="dxa" w:w="100"/>
            </w:tcMar>
          </w:tcPr>
          <w:p>
            <w:r>
              <w:rPr>
                <w:sz w:val="18"/>
                <w:szCs w:val="18"/>
              </w:rPr>
              <w:t xml:space="preserve">a useMemo/useCallback dependency array the compiler can’t statically verify</w:t>
            </w:r>
          </w:p>
        </w:tc>
      </w:tr>
      <w:tr>
        <w:tc>
          <w:tcPr>
            <w:tcW w:type="dxa" w:w="4200"/>
            <w:shd w:fill="F5F5F5" w:val="clear"/>
            <w:tcMar>
              <w:top w:type="dxa" w:w="60"/>
              <w:left w:type="dxa" w:w="100"/>
              <w:bottom w:type="dxa" w:w="60"/>
              <w:right w:type="dxa" w:w="100"/>
            </w:tcMar>
          </w:tcPr>
          <w:p>
            <w:r>
              <w:rPr>
                <w:sz w:val="18"/>
                <w:szCs w:val="18"/>
              </w:rPr>
              <w:t xml:space="preserve">@typescript-eslint/no-empty-object-type</w:t>
            </w:r>
          </w:p>
        </w:tc>
        <w:tc>
          <w:tcPr>
            <w:tcW w:type="dxa" w:w="1200"/>
            <w:shd w:fill="F5F5F5" w:val="clear"/>
            <w:tcMar>
              <w:top w:type="dxa" w:w="60"/>
              <w:left w:type="dxa" w:w="100"/>
              <w:bottom w:type="dxa" w:w="60"/>
              <w:right w:type="dxa" w:w="100"/>
            </w:tcMar>
          </w:tcPr>
          <w:p>
            <w:r>
              <w:rPr>
                <w:sz w:val="18"/>
                <w:szCs w:val="18"/>
              </w:rPr>
              <w:t xml:space="preserve">2</w:t>
            </w:r>
          </w:p>
        </w:tc>
        <w:tc>
          <w:tcPr>
            <w:tcW w:type="dxa" w:w="3600"/>
            <w:shd w:fill="F5F5F5" w:val="clear"/>
            <w:tcMar>
              <w:top w:type="dxa" w:w="60"/>
              <w:left w:type="dxa" w:w="100"/>
              <w:bottom w:type="dxa" w:w="60"/>
              <w:right w:type="dxa" w:w="100"/>
            </w:tcMar>
          </w:tcPr>
          <w:p>
            <w:r>
              <w:rPr>
                <w:sz w:val="18"/>
                <w:szCs w:val="18"/>
              </w:rPr>
              <w:t xml:space="preserve"/>
            </w:r>
          </w:p>
        </w:tc>
      </w:tr>
      <w:tr>
        <w:tc>
          <w:tcPr>
            <w:tcW w:type="dxa" w:w="4200"/>
            <w:shd w:fill="FFFFFF" w:val="clear"/>
            <w:tcMar>
              <w:top w:type="dxa" w:w="60"/>
              <w:left w:type="dxa" w:w="100"/>
              <w:bottom w:type="dxa" w:w="60"/>
              <w:right w:type="dxa" w:w="100"/>
            </w:tcMar>
          </w:tcPr>
          <w:p>
            <w:r>
              <w:rPr>
                <w:sz w:val="18"/>
                <w:szCs w:val="18"/>
              </w:rPr>
              <w:t xml:space="preserve">@typescript-eslint/ban-ts-comment</w:t>
            </w:r>
          </w:p>
        </w:tc>
        <w:tc>
          <w:tcPr>
            <w:tcW w:type="dxa" w:w="1200"/>
            <w:shd w:fill="FFFFFF" w:val="clear"/>
            <w:tcMar>
              <w:top w:type="dxa" w:w="60"/>
              <w:left w:type="dxa" w:w="100"/>
              <w:bottom w:type="dxa" w:w="60"/>
              <w:right w:type="dxa" w:w="100"/>
            </w:tcMar>
          </w:tcPr>
          <w:p>
            <w:r>
              <w:rPr>
                <w:sz w:val="18"/>
                <w:szCs w:val="18"/>
              </w:rPr>
              <w:t xml:space="preserve">2</w:t>
            </w:r>
          </w:p>
        </w:tc>
        <w:tc>
          <w:tcPr>
            <w:tcW w:type="dxa" w:w="3600"/>
            <w:shd w:fill="FFFFFF" w:val="clear"/>
            <w:tcMar>
              <w:top w:type="dxa" w:w="60"/>
              <w:left w:type="dxa" w:w="100"/>
              <w:bottom w:type="dxa" w:w="60"/>
              <w:right w:type="dxa" w:w="100"/>
            </w:tcMar>
          </w:tcPr>
          <w:p>
            <w:r>
              <w:rPr>
                <w:sz w:val="18"/>
                <w:szCs w:val="18"/>
              </w:rPr>
              <w:t xml:space="preserve"/>
            </w:r>
          </w:p>
        </w:tc>
      </w:tr>
    </w:tbl>
    <w:p>
      <w:pPr>
        <w:pStyle w:val="Heading2"/>
        <w:spacing w:after="150" w:before="300"/>
      </w:pPr>
      <w:r>
        <w:t xml:space="preserve">9.4 — Final verification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tcMar>
              <w:top w:type="dxa" w:w="100"/>
              <w:left w:type="dxa" w:w="120"/>
              <w:bottom w:type="dxa" w:w="100"/>
              <w:right w:type="dxa" w:w="120"/>
            </w:tcMar>
          </w:tcPr>
          <w:p>
            <w:r>
              <w:rPr>
                <w:b w:val="false"/>
                <w:bCs w:val="false"/>
                <w:sz w:val="20"/>
                <w:szCs w:val="20"/>
              </w:rPr>
              <w:t xml:space="preserve">Parse errors (full src/ tree)</w:t>
            </w:r>
          </w:p>
        </w:tc>
        <w:tc>
          <w:tcPr>
            <w:tcW w:type="dxa" w:w="3000"/>
            <w:tcMar>
              <w:top w:type="dxa" w:w="100"/>
              <w:left w:type="dxa" w:w="120"/>
              <w:bottom w:type="dxa" w:w="100"/>
              <w:right w:type="dxa" w:w="120"/>
            </w:tcMar>
          </w:tcPr>
          <w:p>
            <w:r>
              <w:rPr>
                <w:b/>
                <w:bCs/>
                <w:color w:val="1A1A1A"/>
                <w:sz w:val="20"/>
                <w:szCs w:val="20"/>
              </w:rPr>
              <w:t xml:space="preserve">0</w:t>
            </w:r>
          </w:p>
        </w:tc>
      </w:tr>
      <w:tr>
        <w:tc>
          <w:tcPr>
            <w:tcW w:type="dxa" w:w="6000"/>
            <w:tcMar>
              <w:top w:type="dxa" w:w="100"/>
              <w:left w:type="dxa" w:w="120"/>
              <w:bottom w:type="dxa" w:w="100"/>
              <w:right w:type="dxa" w:w="120"/>
            </w:tcMar>
          </w:tcPr>
          <w:p>
            <w:r>
              <w:rPr>
                <w:b w:val="false"/>
                <w:bCs w:val="false"/>
                <w:sz w:val="20"/>
                <w:szCs w:val="20"/>
              </w:rPr>
              <w:t xml:space="preserve">ESLint errors (full src/ tree)</w:t>
            </w:r>
          </w:p>
        </w:tc>
        <w:tc>
          <w:tcPr>
            <w:tcW w:type="dxa" w:w="3000"/>
            <w:tcMar>
              <w:top w:type="dxa" w:w="100"/>
              <w:left w:type="dxa" w:w="120"/>
              <w:bottom w:type="dxa" w:w="100"/>
              <w:right w:type="dxa" w:w="120"/>
            </w:tcMar>
          </w:tcPr>
          <w:p>
            <w:r>
              <w:rPr>
                <w:b/>
                <w:bCs/>
                <w:color w:val="555555"/>
                <w:sz w:val="20"/>
                <w:szCs w:val="20"/>
              </w:rPr>
              <w:t xml:space="preserve">49</w:t>
            </w:r>
          </w:p>
        </w:tc>
      </w:tr>
      <w:tr>
        <w:tc>
          <w:tcPr>
            <w:tcW w:type="dxa" w:w="6000"/>
            <w:tcMar>
              <w:top w:type="dxa" w:w="100"/>
              <w:left w:type="dxa" w:w="120"/>
              <w:bottom w:type="dxa" w:w="100"/>
              <w:right w:type="dxa" w:w="120"/>
            </w:tcMar>
          </w:tcPr>
          <w:p>
            <w:r>
              <w:rPr>
                <w:b w:val="false"/>
                <w:bCs w:val="false"/>
                <w:sz w:val="20"/>
                <w:szCs w:val="20"/>
              </w:rPr>
              <w:t xml:space="preserve">ESLint warnings (full src/ tree)</w:t>
            </w:r>
          </w:p>
        </w:tc>
        <w:tc>
          <w:tcPr>
            <w:tcW w:type="dxa" w:w="3000"/>
            <w:tcMar>
              <w:top w:type="dxa" w:w="100"/>
              <w:left w:type="dxa" w:w="120"/>
              <w:bottom w:type="dxa" w:w="100"/>
              <w:right w:type="dxa" w:w="120"/>
            </w:tcMar>
          </w:tcPr>
          <w:p>
            <w:r>
              <w:rPr>
                <w:b/>
                <w:bCs/>
                <w:color w:val="555555"/>
                <w:sz w:val="20"/>
                <w:szCs w:val="20"/>
              </w:rPr>
              <w:t xml:space="preserve">115</w:t>
            </w:r>
          </w:p>
        </w:tc>
      </w:tr>
    </w:tbl>
    <w:p>
      <w:pPr>
        <w:spacing w:after="120"/>
      </w:pPr>
      <w:r>
        <w:rPr>
          <w:i/>
          <w:iCs/>
          <w:color w:val="555555"/>
          <w:sz w:val="18"/>
          <w:szCs w:val="18"/>
        </w:rPr>
        <w:t xml:space="preserve">Verified via two directory-batched `eslint` runs (src/pages, then the rest of src/) rather than a single npx invocation — the sandbox’s ~180s per-command cap does not allow a single whole-tree ESLint pass or `tsc --noEmit` to complete reliably in one call. Zero parse errors confirms every file edited in this phase — including the 29-file dateUtils migration — is syntactically valid.</w:t>
      </w:r>
    </w:p>
    <w:p>
      <w:pPr>
        <w:spacing w:after="120"/>
      </w:pPr>
      <w:r>
        <w:rPr>
          <w:b/>
          <w:bCs/>
          <w:sz w:val="20"/>
          <w:szCs w:val="20"/>
        </w:rPr>
        <w:t xml:space="preserve">At this point `npm run build` (tsc + vite build) still had not been run — see Section 10 for what that surfaced and how it was resolved.</w:t>
      </w:r>
    </w:p>
    <w:p>
      <w:pPr>
        <w:pStyle w:val="Heading1"/>
        <w:spacing w:after="200" w:before="400"/>
      </w:pPr>
      <w:r>
        <w:t xml:space="preserve">10. Build Verification — Post-Fix Follow-Up</w:t>
      </w:r>
    </w:p>
    <w:p>
      <w:pPr>
        <w:spacing w:after="120"/>
      </w:pPr>
      <w:r>
        <w:rPr>
          <w:sz w:val="20"/>
          <w:szCs w:val="20"/>
        </w:rPr>
        <w:t xml:space="preserve">The user ran `npm run build` (`tsc --noEmit &amp;&amp; vite build`) locally after the fix-all phase and got 33 TypeScript errors, blocking the build. This section documents what they were, what caused them, and how each was resolved — then reports a clean re-verification.</w:t>
      </w:r>
    </w:p>
    <w:p>
      <w:pPr>
        <w:pStyle w:val="Heading2"/>
        <w:spacing w:after="150" w:before="300"/>
      </w:pPr>
      <w:r>
        <w:t xml:space="preserve">10.1 — Root cause: a mechanical mistake in this session’s own unused-var cleanup</w:t>
      </w:r>
    </w:p>
    <w:p>
      <w:pPr>
        <w:spacing w:after="120"/>
      </w:pPr>
      <w:r>
        <w:rPr>
          <w:sz w:val="20"/>
          <w:szCs w:val="20"/>
        </w:rPr>
        <w:t xml:space="preserve">24 of the 33 errors traced to one root cause, across 10 files (Sidebar.tsx, useInventoryActions.ts, POSCartGrid.tsx, POSFooter.tsx, POSSidebar.tsx, StandardPOSTemplate.tsx, BillForm.tsx, Bills.tsx, PayablesTable.tsx, OutstandingPayables.tsx, PurchaseOrderList.tsx). Section 9’s unused-var cleanup renamed unused destructured props and hook-return values by prefixing the local binding directly — e.g. turning `{ currentSector }` into `{ __currentSector }`. That silences ESLint, but it also changes which property is read off the source object: `{ __currentSector }` looks for a property literally named `__currentSector`, which doesn’t exist, instead of reading `currentSector` into a differently-named local. ESLint’s plain-JS unused-vars check can’t see that distinction (JavaScript destructuring a missing key just yields `undefined`, no runtime error) — only TypeScript’s structural typing catches it, and this sandbox could not run `tsc --noEmit` during the original fix-all pass. Each was fixed with the correct alias syntax, `originalName: _localName`, which keeps the right property being read while still satisfying the unused-var lint rule. Each rename was checked against the surrounding code first to confirm the prop was genuinely unused (not a second, real bug) before applying the fix — POSCartGrid.tsx’s `currentSector` reference, for instance, turned out to be inside a commented-out camera-capture block, not live code.</w:t>
      </w:r>
    </w:p>
    <w:p>
      <w:pPr>
        <w:pStyle w:val="Heading2"/>
        <w:spacing w:after="150" w:before="300"/>
      </w:pPr>
      <w:r>
        <w:t xml:space="preserve">10.2 — Other errors and how they were resolved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500"/>
      </w:tblGrid>
      <w:tr>
        <w:trPr>
          <w:tblHeader/>
        </w:trPr>
        <w:tc>
          <w:tcPr>
            <w:tcW w:type="dxa" w:w="2300"/>
            <w:shd w:fill="2B2B2B" w:val="clear"/>
            <w:tcMar>
              <w:top w:type="dxa" w:w="80"/>
              <w:left w:type="dxa" w:w="100"/>
              <w:bottom w:type="dxa" w:w="80"/>
              <w:right w:type="dxa" w:w="100"/>
            </w:tcMar>
          </w:tcPr>
          <w:p>
            <w:r>
              <w:rPr>
                <w:b/>
                <w:bCs/>
                <w:color w:val="FFFFFF"/>
                <w:sz w:val="18"/>
                <w:szCs w:val="18"/>
              </w:rPr>
              <w:t xml:space="preserve">File</w:t>
            </w:r>
          </w:p>
        </w:tc>
        <w:tc>
          <w:tcPr>
            <w:tcW w:type="dxa" w:w="4200"/>
            <w:shd w:fill="2B2B2B" w:val="clear"/>
            <w:tcMar>
              <w:top w:type="dxa" w:w="80"/>
              <w:left w:type="dxa" w:w="100"/>
              <w:bottom w:type="dxa" w:w="80"/>
              <w:right w:type="dxa" w:w="100"/>
            </w:tcMar>
          </w:tcPr>
          <w:p>
            <w:r>
              <w:rPr>
                <w:b/>
                <w:bCs/>
                <w:color w:val="FFFFFF"/>
                <w:sz w:val="18"/>
                <w:szCs w:val="18"/>
              </w:rPr>
              <w:t xml:space="preserve">Cause</w:t>
            </w:r>
          </w:p>
        </w:tc>
        <w:tc>
          <w:tcPr>
            <w:tcW w:type="dxa" w:w="2500"/>
            <w:shd w:fill="2B2B2B" w:val="clear"/>
            <w:tcMar>
              <w:top w:type="dxa" w:w="80"/>
              <w:left w:type="dxa" w:w="100"/>
              <w:bottom w:type="dxa" w:w="80"/>
              <w:right w:type="dxa" w:w="100"/>
            </w:tcMar>
          </w:tcPr>
          <w:p>
            <w:r>
              <w:rPr>
                <w:b/>
                <w:bCs/>
                <w:color w:val="FFFFFF"/>
                <w:sz w:val="18"/>
                <w:szCs w:val="18"/>
              </w:rPr>
              <w:t xml:space="preserve">Fix</w:t>
            </w:r>
          </w:p>
        </w:tc>
      </w:tr>
      <w:tr>
        <w:tc>
          <w:tcPr>
            <w:tcW w:type="dxa" w:w="2300"/>
            <w:shd w:fill="FFFFFF" w:val="clear"/>
            <w:tcMar>
              <w:top w:type="dxa" w:w="60"/>
              <w:left w:type="dxa" w:w="100"/>
              <w:bottom w:type="dxa" w:w="60"/>
              <w:right w:type="dxa" w:w="100"/>
            </w:tcMar>
          </w:tcPr>
          <w:p>
            <w:r>
              <w:rPr>
                <w:sz w:val="18"/>
                <w:szCs w:val="18"/>
              </w:rPr>
              <w:t xml:space="preserve">CustomerStatements.tsx</w:t>
            </w:r>
          </w:p>
        </w:tc>
        <w:tc>
          <w:tcPr>
            <w:tcW w:type="dxa" w:w="4200"/>
            <w:shd w:fill="FFFFFF" w:val="clear"/>
            <w:tcMar>
              <w:top w:type="dxa" w:w="60"/>
              <w:left w:type="dxa" w:w="100"/>
              <w:bottom w:type="dxa" w:w="60"/>
              <w:right w:type="dxa" w:w="100"/>
            </w:tcMar>
          </w:tcPr>
          <w:p>
            <w:r>
              <w:rPr>
                <w:sz w:val="18"/>
                <w:szCs w:val="18"/>
              </w:rPr>
              <w:t xml:space="preserve">The dateUtils migration script (Section 9.1) mishandled the one call site that had no Date argument at all (`new Date().toLocaleDateString()`), emitting `formatDate()` with zero args against a function requiring one</w:t>
            </w:r>
          </w:p>
        </w:tc>
        <w:tc>
          <w:tcPr>
            <w:tcW w:type="dxa" w:w="2500"/>
            <w:shd w:fill="FFFFFF" w:val="clear"/>
            <w:tcMar>
              <w:top w:type="dxa" w:w="60"/>
              <w:left w:type="dxa" w:w="100"/>
              <w:bottom w:type="dxa" w:w="60"/>
              <w:right w:type="dxa" w:w="100"/>
            </w:tcMar>
          </w:tcPr>
          <w:p>
            <w:r>
              <w:rPr>
                <w:sz w:val="18"/>
                <w:szCs w:val="18"/>
              </w:rPr>
              <w:t xml:space="preserve">Changed to `formatDate(new Date())`, preserving the original "today’s date" behavior</w:t>
            </w:r>
          </w:p>
        </w:tc>
      </w:tr>
      <w:tr>
        <w:tc>
          <w:tcPr>
            <w:tcW w:type="dxa" w:w="2300"/>
            <w:shd w:fill="F5F5F5" w:val="clear"/>
            <w:tcMar>
              <w:top w:type="dxa" w:w="60"/>
              <w:left w:type="dxa" w:w="100"/>
              <w:bottom w:type="dxa" w:w="60"/>
              <w:right w:type="dxa" w:w="100"/>
            </w:tcMar>
          </w:tcPr>
          <w:p>
            <w:r>
              <w:rPr>
                <w:sz w:val="18"/>
                <w:szCs w:val="18"/>
              </w:rPr>
              <w:t xml:space="preserve">Sidebar.tsx</w:t>
            </w:r>
          </w:p>
        </w:tc>
        <w:tc>
          <w:tcPr>
            <w:tcW w:type="dxa" w:w="4200"/>
            <w:shd w:fill="F5F5F5" w:val="clear"/>
            <w:tcMar>
              <w:top w:type="dxa" w:w="60"/>
              <w:left w:type="dxa" w:w="100"/>
              <w:bottom w:type="dxa" w:w="60"/>
              <w:right w:type="dxa" w:w="100"/>
            </w:tcMar>
          </w:tcPr>
          <w:p>
            <w:r>
              <w:rPr>
                <w:sz w:val="18"/>
                <w:szCs w:val="18"/>
              </w:rPr>
              <w:t xml:space="preserve">A second, entirely unused render function (`renderMenuItem`) had been prefixed `_renderMenuItem` during cleanup, but its one internal recursive call site was left unrenamed, referencing a name that no longer existed</w:t>
            </w:r>
          </w:p>
        </w:tc>
        <w:tc>
          <w:tcPr>
            <w:tcW w:type="dxa" w:w="2500"/>
            <w:shd w:fill="F5F5F5" w:val="clear"/>
            <w:tcMar>
              <w:top w:type="dxa" w:w="60"/>
              <w:left w:type="dxa" w:w="100"/>
              <w:bottom w:type="dxa" w:w="60"/>
              <w:right w:type="dxa" w:w="100"/>
            </w:tcMar>
          </w:tcPr>
          <w:p>
            <w:r>
              <w:rPr>
                <w:sz w:val="18"/>
                <w:szCs w:val="18"/>
              </w:rPr>
              <w:t xml:space="preserve">Deleted the whole function — it duplicated `renderRecursive`, the function actually wired into the JSX, and was dead code regardless of the naming bug</w:t>
            </w:r>
          </w:p>
        </w:tc>
      </w:tr>
      <w:tr>
        <w:tc>
          <w:tcPr>
            <w:tcW w:type="dxa" w:w="2300"/>
            <w:shd w:fill="FFFFFF" w:val="clear"/>
            <w:tcMar>
              <w:top w:type="dxa" w:w="60"/>
              <w:left w:type="dxa" w:w="100"/>
              <w:bottom w:type="dxa" w:w="60"/>
              <w:right w:type="dxa" w:w="100"/>
            </w:tcMar>
          </w:tcPr>
          <w:p>
            <w:r>
              <w:rPr>
                <w:sz w:val="18"/>
                <w:szCs w:val="18"/>
              </w:rPr>
              <w:t xml:space="preserve">saleThunks.test.ts, SyncManager.test.ts</w:t>
            </w:r>
          </w:p>
        </w:tc>
        <w:tc>
          <w:tcPr>
            <w:tcW w:type="dxa" w:w="4200"/>
            <w:shd w:fill="FFFFFF" w:val="clear"/>
            <w:tcMar>
              <w:top w:type="dxa" w:w="60"/>
              <w:left w:type="dxa" w:w="100"/>
              <w:bottom w:type="dxa" w:w="60"/>
              <w:right w:type="dxa" w:w="100"/>
            </w:tcMar>
          </w:tcPr>
          <w:p>
            <w:r>
              <w:rPr>
                <w:sz w:val="18"/>
                <w:szCs w:val="18"/>
              </w:rPr>
              <w:t xml:space="preserve">Same alias-prefix mistake as 10.1, but on a plain local variable (`_originalOnLine`) rather than a destructure</w:t>
            </w:r>
          </w:p>
        </w:tc>
        <w:tc>
          <w:tcPr>
            <w:tcW w:type="dxa" w:w="2500"/>
            <w:shd w:fill="FFFFFF" w:val="clear"/>
            <w:tcMar>
              <w:top w:type="dxa" w:w="60"/>
              <w:left w:type="dxa" w:w="100"/>
              <w:bottom w:type="dxa" w:w="60"/>
              <w:right w:type="dxa" w:w="100"/>
            </w:tcMar>
          </w:tcPr>
          <w:p>
            <w:r>
              <w:rPr>
                <w:sz w:val="18"/>
                <w:szCs w:val="18"/>
              </w:rPr>
              <w:t xml:space="preserve">Assignment updated to match the declared name</w:t>
            </w:r>
          </w:p>
        </w:tc>
      </w:tr>
      <w:tr>
        <w:tc>
          <w:tcPr>
            <w:tcW w:type="dxa" w:w="2300"/>
            <w:shd w:fill="F5F5F5" w:val="clear"/>
            <w:tcMar>
              <w:top w:type="dxa" w:w="60"/>
              <w:left w:type="dxa" w:w="100"/>
              <w:bottom w:type="dxa" w:w="60"/>
              <w:right w:type="dxa" w:w="100"/>
            </w:tcMar>
          </w:tcPr>
          <w:p>
            <w:r>
              <w:rPr>
                <w:sz w:val="18"/>
                <w:szCs w:val="18"/>
              </w:rPr>
              <w:t xml:space="preserve">receiptGenerator.test.ts</w:t>
            </w:r>
          </w:p>
        </w:tc>
        <w:tc>
          <w:tcPr>
            <w:tcW w:type="dxa" w:w="4200"/>
            <w:shd w:fill="F5F5F5" w:val="clear"/>
            <w:tcMar>
              <w:top w:type="dxa" w:w="60"/>
              <w:left w:type="dxa" w:w="100"/>
              <w:bottom w:type="dxa" w:w="60"/>
              <w:right w:type="dxa" w:w="100"/>
            </w:tcMar>
          </w:tcPr>
          <w:p>
            <w:r>
              <w:rPr>
                <w:sz w:val="18"/>
                <w:szCs w:val="18"/>
              </w:rPr>
              <w:t xml:space="preserve">Missing `import { describe, it, expect } from 'vitest'` — pre-existing, not from this session</w:t>
            </w:r>
          </w:p>
        </w:tc>
        <w:tc>
          <w:tcPr>
            <w:tcW w:type="dxa" w:w="2500"/>
            <w:shd w:fill="F5F5F5" w:val="clear"/>
            <w:tcMar>
              <w:top w:type="dxa" w:w="60"/>
              <w:left w:type="dxa" w:w="100"/>
              <w:bottom w:type="dxa" w:w="60"/>
              <w:right w:type="dxa" w:w="100"/>
            </w:tcMar>
          </w:tcPr>
          <w:p>
            <w:r>
              <w:rPr>
                <w:sz w:val="18"/>
                <w:szCs w:val="18"/>
              </w:rPr>
              <w:t xml:space="preserve">Import added, matching every other test file in the project</w:t>
            </w:r>
          </w:p>
        </w:tc>
      </w:tr>
      <w:tr>
        <w:tc>
          <w:tcPr>
            <w:tcW w:type="dxa" w:w="2300"/>
            <w:shd w:fill="FFFFFF" w:val="clear"/>
            <w:tcMar>
              <w:top w:type="dxa" w:w="60"/>
              <w:left w:type="dxa" w:w="100"/>
              <w:bottom w:type="dxa" w:w="60"/>
              <w:right w:type="dxa" w:w="100"/>
            </w:tcMar>
          </w:tcPr>
          <w:p>
            <w:r>
              <w:rPr>
                <w:sz w:val="18"/>
                <w:szCs w:val="18"/>
              </w:rPr>
              <w:t xml:space="preserve">tenantSlice.settings.test.ts</w:t>
            </w:r>
          </w:p>
        </w:tc>
        <w:tc>
          <w:tcPr>
            <w:tcW w:type="dxa" w:w="4200"/>
            <w:shd w:fill="FFFFFF" w:val="clear"/>
            <w:tcMar>
              <w:top w:type="dxa" w:w="60"/>
              <w:left w:type="dxa" w:w="100"/>
              <w:bottom w:type="dxa" w:w="60"/>
              <w:right w:type="dxa" w:w="100"/>
            </w:tcMar>
          </w:tcPr>
          <w:p>
            <w:r>
              <w:rPr>
                <w:sz w:val="18"/>
                <w:szCs w:val="18"/>
              </w:rPr>
              <w:t xml:space="preserve">`Array.find()` results used without narrowing for `undefined` — pre-existing</w:t>
            </w:r>
          </w:p>
        </w:tc>
        <w:tc>
          <w:tcPr>
            <w:tcW w:type="dxa" w:w="2500"/>
            <w:shd w:fill="FFFFFF" w:val="clear"/>
            <w:tcMar>
              <w:top w:type="dxa" w:w="60"/>
              <w:left w:type="dxa" w:w="100"/>
              <w:bottom w:type="dxa" w:w="60"/>
              <w:right w:type="dxa" w:w="100"/>
            </w:tcMar>
          </w:tcPr>
          <w:p>
            <w:r>
              <w:rPr>
                <w:sz w:val="18"/>
                <w:szCs w:val="18"/>
              </w:rPr>
              <w:t xml:space="preserve">Non-null assertions added at the 3 `.find()` call sites (test-only, values are guaranteed present by the test setup)</w:t>
            </w:r>
          </w:p>
        </w:tc>
      </w:tr>
      <w:tr>
        <w:tc>
          <w:tcPr>
            <w:tcW w:type="dxa" w:w="2300"/>
            <w:shd w:fill="F5F5F5" w:val="clear"/>
            <w:tcMar>
              <w:top w:type="dxa" w:w="60"/>
              <w:left w:type="dxa" w:w="100"/>
              <w:bottom w:type="dxa" w:w="60"/>
              <w:right w:type="dxa" w:w="100"/>
            </w:tcMar>
          </w:tcPr>
          <w:p>
            <w:r>
              <w:rPr>
                <w:sz w:val="18"/>
                <w:szCs w:val="18"/>
              </w:rPr>
              <w:t xml:space="preserve">Settings.tsx</w:t>
            </w:r>
          </w:p>
        </w:tc>
        <w:tc>
          <w:tcPr>
            <w:tcW w:type="dxa" w:w="4200"/>
            <w:shd w:fill="F5F5F5" w:val="clear"/>
            <w:tcMar>
              <w:top w:type="dxa" w:w="60"/>
              <w:left w:type="dxa" w:w="100"/>
              <w:bottom w:type="dxa" w:w="60"/>
              <w:right w:type="dxa" w:w="100"/>
            </w:tcMar>
          </w:tcPr>
          <w:p>
            <w:r>
              <w:rPr>
                <w:sz w:val="18"/>
                <w:szCs w:val="18"/>
              </w:rPr>
              <w:t xml:space="preserve">A `defaultTaxMode` field was being written into a `Partial&lt;Tenant&gt;` update payload, but `Tenant` has no such field — pre-existing, likely a leftover from earlier settings-persistence work</w:t>
            </w:r>
          </w:p>
        </w:tc>
        <w:tc>
          <w:tcPr>
            <w:tcW w:type="dxa" w:w="2500"/>
            <w:shd w:fill="F5F5F5" w:val="clear"/>
            <w:tcMar>
              <w:top w:type="dxa" w:w="60"/>
              <w:left w:type="dxa" w:w="100"/>
              <w:bottom w:type="dxa" w:w="60"/>
              <w:right w:type="dxa" w:w="100"/>
            </w:tcMar>
          </w:tcPr>
          <w:p>
            <w:r>
              <w:rPr>
                <w:sz w:val="18"/>
                <w:szCs w:val="18"/>
              </w:rPr>
              <w:t xml:space="preserve">Field removed; the same value already flows through the adjacent `systemConfig.pricingMode` field</w:t>
            </w:r>
          </w:p>
        </w:tc>
      </w:tr>
      <w:tr>
        <w:tc>
          <w:tcPr>
            <w:tcW w:type="dxa" w:w="2300"/>
            <w:shd w:fill="FFFFFF" w:val="clear"/>
            <w:tcMar>
              <w:top w:type="dxa" w:w="60"/>
              <w:left w:type="dxa" w:w="100"/>
              <w:bottom w:type="dxa" w:w="60"/>
              <w:right w:type="dxa" w:w="100"/>
            </w:tcMar>
          </w:tcPr>
          <w:p>
            <w:r>
              <w:rPr>
                <w:sz w:val="18"/>
                <w:szCs w:val="18"/>
              </w:rPr>
              <w:t xml:space="preserve">LaborManager.tsx</w:t>
            </w:r>
          </w:p>
        </w:tc>
        <w:tc>
          <w:tcPr>
            <w:tcW w:type="dxa" w:w="4200"/>
            <w:shd w:fill="FFFFFF" w:val="clear"/>
            <w:tcMar>
              <w:top w:type="dxa" w:w="60"/>
              <w:left w:type="dxa" w:w="100"/>
              <w:bottom w:type="dxa" w:w="60"/>
              <w:right w:type="dxa" w:w="100"/>
            </w:tcMar>
          </w:tcPr>
          <w:p>
            <w:r>
              <w:rPr>
                <w:sz w:val="18"/>
                <w:szCs w:val="18"/>
              </w:rPr>
              <w:t xml:space="preserve">A Redux-typed `Sector` value compared against the string `'All'`, which isn’t a member of the `Sector` union — pre-existing</w:t>
            </w:r>
          </w:p>
        </w:tc>
        <w:tc>
          <w:tcPr>
            <w:tcW w:type="dxa" w:w="2500"/>
            <w:shd w:fill="FFFFFF" w:val="clear"/>
            <w:tcMar>
              <w:top w:type="dxa" w:w="60"/>
              <w:left w:type="dxa" w:w="100"/>
              <w:bottom w:type="dxa" w:w="60"/>
              <w:right w:type="dxa" w:w="100"/>
            </w:tcMar>
          </w:tcPr>
          <w:p>
            <w:r>
              <w:rPr>
                <w:sz w:val="18"/>
                <w:szCs w:val="18"/>
              </w:rPr>
              <w:t xml:space="preserve">Comparison side cast to `string` to preserve the intended "no sector filter selected" behavior without widening the `Sector` type itself</w:t>
            </w:r>
          </w:p>
        </w:tc>
      </w:tr>
      <w:tr>
        <w:tc>
          <w:tcPr>
            <w:tcW w:type="dxa" w:w="2300"/>
            <w:shd w:fill="F5F5F5" w:val="clear"/>
            <w:tcMar>
              <w:top w:type="dxa" w:w="60"/>
              <w:left w:type="dxa" w:w="100"/>
              <w:bottom w:type="dxa" w:w="60"/>
              <w:right w:type="dxa" w:w="100"/>
            </w:tcMar>
          </w:tcPr>
          <w:p>
            <w:r>
              <w:rPr>
                <w:sz w:val="18"/>
                <w:szCs w:val="18"/>
              </w:rPr>
              <w:t xml:space="preserve">Login.test.tsx</w:t>
            </w:r>
          </w:p>
        </w:tc>
        <w:tc>
          <w:tcPr>
            <w:tcW w:type="dxa" w:w="4200"/>
            <w:shd w:fill="F5F5F5" w:val="clear"/>
            <w:tcMar>
              <w:top w:type="dxa" w:w="60"/>
              <w:left w:type="dxa" w:w="100"/>
              <w:bottom w:type="dxa" w:w="60"/>
              <w:right w:type="dxa" w:w="100"/>
            </w:tcMar>
          </w:tcPr>
          <w:p>
            <w:r>
              <w:rPr>
                <w:sz w:val="18"/>
                <w:szCs w:val="18"/>
              </w:rPr>
              <w:t xml:space="preserve">A `configureStore({ reducer: {...} })` call where TypeScript picked the wrong overload once `preloadedState` was typed `any` — a known Redux Toolkit inference quirk, pre-existing</w:t>
            </w:r>
          </w:p>
        </w:tc>
        <w:tc>
          <w:tcPr>
            <w:tcW w:type="dxa" w:w="2500"/>
            <w:shd w:fill="F5F5F5" w:val="clear"/>
            <w:tcMar>
              <w:top w:type="dxa" w:w="60"/>
              <w:left w:type="dxa" w:w="100"/>
              <w:bottom w:type="dxa" w:w="60"/>
              <w:right w:type="dxa" w:w="100"/>
            </w:tcMar>
          </w:tcPr>
          <w:p>
            <w:r>
              <w:rPr>
                <w:sz w:val="18"/>
                <w:szCs w:val="18"/>
              </w:rPr>
              <w:t xml:space="preserve">Reducer map cast to `any` (test-only helper, no production impact)</w:t>
            </w:r>
          </w:p>
        </w:tc>
      </w:tr>
    </w:tbl>
    <w:p>
      <w:pPr>
        <w:pStyle w:val="Heading2"/>
        <w:spacing w:after="150" w:before="300"/>
      </w:pPr>
      <w:r>
        <w:t xml:space="preserve">10.3 — Re-verification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tcMar>
              <w:top w:type="dxa" w:w="100"/>
              <w:left w:type="dxa" w:w="120"/>
              <w:bottom w:type="dxa" w:w="100"/>
              <w:right w:type="dxa" w:w="120"/>
            </w:tcMar>
          </w:tcPr>
          <w:p>
            <w:r>
              <w:rPr>
                <w:b w:val="false"/>
                <w:bCs w:val="false"/>
                <w:sz w:val="20"/>
                <w:szCs w:val="20"/>
              </w:rPr>
              <w:t xml:space="preserve">`tsc --noEmit` (full frontend project)</w:t>
            </w:r>
          </w:p>
        </w:tc>
        <w:tc>
          <w:tcPr>
            <w:tcW w:type="dxa" w:w="3000"/>
            <w:tcMar>
              <w:top w:type="dxa" w:w="100"/>
              <w:left w:type="dxa" w:w="120"/>
              <w:bottom w:type="dxa" w:w="100"/>
              <w:right w:type="dxa" w:w="120"/>
            </w:tcMar>
          </w:tcPr>
          <w:p>
            <w:r>
              <w:rPr>
                <w:b/>
                <w:bCs/>
                <w:color w:val="0A7A2F"/>
                <w:sz w:val="20"/>
                <w:szCs w:val="20"/>
              </w:rPr>
              <w:t xml:space="preserve">0 errors</w:t>
            </w:r>
          </w:p>
        </w:tc>
      </w:tr>
      <w:tr>
        <w:tc>
          <w:tcPr>
            <w:tcW w:type="dxa" w:w="6000"/>
            <w:tcMar>
              <w:top w:type="dxa" w:w="100"/>
              <w:left w:type="dxa" w:w="120"/>
              <w:bottom w:type="dxa" w:w="100"/>
              <w:right w:type="dxa" w:w="120"/>
            </w:tcMar>
          </w:tcPr>
          <w:p>
            <w:r>
              <w:rPr>
                <w:b w:val="false"/>
                <w:bCs w:val="false"/>
                <w:sz w:val="20"/>
                <w:szCs w:val="20"/>
              </w:rPr>
              <w:t xml:space="preserve">ESLint parse errors (full src/ tree, 538 files)</w:t>
            </w:r>
          </w:p>
        </w:tc>
        <w:tc>
          <w:tcPr>
            <w:tcW w:type="dxa" w:w="3000"/>
            <w:tcMar>
              <w:top w:type="dxa" w:w="100"/>
              <w:left w:type="dxa" w:w="120"/>
              <w:bottom w:type="dxa" w:w="100"/>
              <w:right w:type="dxa" w:w="120"/>
            </w:tcMar>
          </w:tcPr>
          <w:p>
            <w:r>
              <w:rPr>
                <w:b/>
                <w:bCs/>
                <w:color w:val="0A7A2F"/>
                <w:sz w:val="20"/>
                <w:szCs w:val="20"/>
              </w:rPr>
              <w:t xml:space="preserve">0</w:t>
            </w:r>
          </w:p>
        </w:tc>
      </w:tr>
      <w:tr>
        <w:tc>
          <w:tcPr>
            <w:tcW w:type="dxa" w:w="6000"/>
            <w:tcMar>
              <w:top w:type="dxa" w:w="100"/>
              <w:left w:type="dxa" w:w="120"/>
              <w:bottom w:type="dxa" w:w="100"/>
              <w:right w:type="dxa" w:w="120"/>
            </w:tcMar>
          </w:tcPr>
          <w:p>
            <w:r>
              <w:rPr>
                <w:b w:val="false"/>
                <w:bCs w:val="false"/>
                <w:sz w:val="20"/>
                <w:szCs w:val="20"/>
              </w:rPr>
              <w:t xml:space="preserve">ESLint errors / warnings (full src/ tree)</w:t>
            </w:r>
          </w:p>
        </w:tc>
        <w:tc>
          <w:tcPr>
            <w:tcW w:type="dxa" w:w="3000"/>
            <w:tcMar>
              <w:top w:type="dxa" w:w="100"/>
              <w:left w:type="dxa" w:w="120"/>
              <w:bottom w:type="dxa" w:w="100"/>
              <w:right w:type="dxa" w:w="120"/>
            </w:tcMar>
          </w:tcPr>
          <w:p>
            <w:r>
              <w:rPr>
                <w:b/>
                <w:bCs/>
                <w:color w:val="555555"/>
                <w:sz w:val="20"/>
                <w:szCs w:val="20"/>
              </w:rPr>
              <w:t xml:space="preserve">49 / 115</w:t>
            </w:r>
          </w:p>
        </w:tc>
      </w:tr>
    </w:tbl>
    <w:p>
      <w:pPr>
        <w:spacing w:after="120"/>
      </w:pPr>
      <w:r>
        <w:rPr>
          <w:i/>
          <w:iCs/>
          <w:color w:val="555555"/>
          <w:sz w:val="18"/>
          <w:szCs w:val="18"/>
        </w:rPr>
        <w:t xml:space="preserve">`tsc` was run via the TypeScript binary hoisted to the monorepo root (`ERP/node_modules/.bin/tsc`) against the frontend project — the frontend workspace’s own `node_modules` does not carry its own copy. The 49/115 ESLint count is unchanged from Section 9.4, confirming the build fixes were type-level corrections with no lint side effects.</w:t>
      </w:r>
    </w:p>
    <w:p>
      <w:pPr>
        <w:spacing w:after="120"/>
      </w:pPr>
      <w:r>
        <w:rPr>
          <w:color w:val="555555"/>
          <w:sz w:val="18"/>
          <w:szCs w:val="18"/>
        </w:rPr>
        <w:t xml:space="preserve">Residual dead-code smells, current count: 27 console.log calls across 17 files (down from 46/23 before Section 9’s cleanup — the remainder are the intentionally-kept mock-service and audit logs documented in Section 9.1); 0 commented-out dead-code blocks remaining.</w:t>
      </w:r>
    </w:p>
    <w:p>
      <w:pPr>
        <w:spacing w:after="120"/>
      </w:pPr>
      <w:r>
        <w:rPr>
          <w:b/>
          <w:bCs/>
          <w:sz w:val="20"/>
          <w:szCs w:val="20"/>
        </w:rPr>
        <w:t xml:space="preserve">The build is confirmed green in this sandbox. Vite’s bundling step (the second half of `npm run build`) still was not run here — please confirm that locally as the final step before merging.</w:t>
      </w:r>
    </w:p>
    <w:p>
      <w:pPr>
        <w:pStyle w:val="Heading1"/>
        <w:spacing w:after="200" w:before="400"/>
      </w:pPr>
      <w:r>
        <w:t xml:space="preserve">Appendix A — Supporting Detail</w:t>
      </w:r>
    </w:p>
    <w:p>
      <w:pPr>
        <w:pStyle w:val="Heading2"/>
        <w:spacing w:after="150" w:before="300"/>
      </w:pPr>
      <w:r>
        <w:t xml:space="preserve">A.1 — eslint.config.js diff</w:t>
      </w:r>
    </w:p>
    <w:p>
      <w:pPr>
        <w:shd w:fill="F0F0F0" w:val="clear"/>
        <w:spacing w:after="0"/>
      </w:pPr>
      <w:r>
        <w:rPr>
          <w:rFonts w:ascii="Consolas" w:cs="Consolas" w:eastAsia="Consolas" w:hAnsi="Consolas"/>
          <w:color w:val="333333"/>
          <w:sz w:val="18"/>
          <w:szCs w:val="18"/>
        </w:rPr>
        <w:t xml:space="preserve">files:    ['**/*.{js,jsx}']              -&gt;  ['**/*.{js,jsx,ts,tsx}']</w:t>
      </w:r>
    </w:p>
    <w:p>
      <w:pPr>
        <w:shd w:fill="F0F0F0" w:val="clear"/>
        <w:spacing w:after="0"/>
      </w:pPr>
      <w:r>
        <w:rPr>
          <w:rFonts w:ascii="Consolas" w:cs="Consolas" w:eastAsia="Consolas" w:hAnsi="Consolas"/>
          <w:color w:val="333333"/>
          <w:sz w:val="18"/>
          <w:szCs w:val="18"/>
        </w:rPr>
        <w:t xml:space="preserve">plugin:   reactHooks.configs['recommended-latest']  -&gt;  reactHooks.configs.flat['recommended-latest']</w:t>
      </w:r>
    </w:p>
    <w:p>
      <w:pPr>
        <w:shd w:fill="F0F0F0" w:val="clear"/>
        <w:spacing w:after="0"/>
      </w:pPr>
      <w:r>
        <w:rPr>
          <w:rFonts w:ascii="Consolas" w:cs="Consolas" w:eastAsia="Consolas" w:hAnsi="Consolas"/>
          <w:color w:val="333333"/>
          <w:sz w:val="18"/>
          <w:szCs w:val="18"/>
        </w:rPr>
        <w:t xml:space="preserve">added:    (nothing)                       -&gt;  ...tseslint.configs.recommended</w:t>
      </w:r>
    </w:p>
    <w:p>
      <w:pPr>
        <w:shd w:fill="F0F0F0" w:val="clear"/>
        <w:spacing w:after="80"/>
      </w:pPr>
      <w:r>
        <w:rPr>
          <w:rFonts w:ascii="Consolas" w:cs="Consolas" w:eastAsia="Consolas" w:hAnsi="Consolas"/>
          <w:color w:val="333333"/>
          <w:sz w:val="18"/>
          <w:szCs w:val="18"/>
        </w:rPr>
        <w:t xml:space="preserve">rule:     'no-unused-vars'                -&gt;  '@typescript-eslint/no-unused-vars'</w:t>
      </w:r>
    </w:p>
    <w:p>
      <w:pPr>
        <w:pStyle w:val="Heading2"/>
        <w:spacing w:after="150" w:before="300"/>
      </w:pPr>
      <w:r>
        <w:t xml:space="preserve">A.2 — react-hooks/set-state-in-effect, full 28-item list</w:t>
      </w:r>
    </w:p>
    <w:p>
      <w:pPr>
        <w:spacing w:after="120"/>
      </w:pPr>
      <w:r>
        <w:rPr>
          <w:sz w:val="20"/>
          <w:szCs w:val="20"/>
        </w:rPr>
        <w:t xml:space="preserve">Available on request / by re-running `npm run lint` after the Section 3.1 config fix — every occurrence is reported with an exact file:line. Confirmed files include: GoogleBusiness.tsx, MetaCallback.tsx, EditItem.tsx, and 25 others across the pages/ tree.</w:t>
      </w:r>
    </w:p>
    <w:p>
      <w:pPr>
        <w:pStyle w:val="Heading2"/>
        <w:spacing w:after="150" w:before="300"/>
      </w:pPr>
      <w:r>
        <w:t xml:space="preserve">A.3 — Orphaned-file candidates, both tiers</w:t>
      </w:r>
    </w:p>
    <w:p>
      <w:pPr>
        <w:spacing w:after="120"/>
      </w:pPr>
      <w:r>
        <w:rPr>
          <w:b/>
          <w:bCs/>
          <w:sz w:val="20"/>
          <w:szCs w:val="20"/>
        </w:rPr>
        <w:t xml:space="preserve">Tier A — zero references anywhere (72 files):</w:t>
      </w:r>
    </w:p>
    <w:p>
      <w:pPr>
        <w:spacing w:after="120"/>
      </w:pPr>
      <w:r>
        <w:rPr>
          <w:color w:val="555555"/>
          <w:sz w:val="18"/>
          <w:szCs w:val="18"/>
        </w:rPr>
        <w:t xml:space="preserve">NavSubmenu.tsx, PlaceholderPage.tsx, config/sentry.ts, data/sales_items.ts, hooks/useInventoryLogic.ts, hooks/useRealtimeTenantSync.ts, hooks/useSalesLedger.ts, hooks/useSalesReturnManager.ts, hooks/useTenantFormActions.ts, hooks/useTenantFormState.ts, hooks/useTenantFormSubmission.ts, pages/Business/BusinessSetupModal.tsx, pages/Business/GoogleProfile.tsx, pages/Business/MetaCallback.tsx, pages/Business/OnlineShop.tsx, pages/Commercial/Items/AddItem.tsx, pages/Commercial/Items/EditItem.tsx, pages/Commercial/Returns/ReturnInvoiceSelector.tsx, pages/Commercial/Returns/ReturnItemGrid.tsx, pages/Commercial/Returns/ReturnSummary.tsx, pages/Commercial/Returns/ReturnedItemsList.tsx, pages/Expenses/ExpenseDashboard.tsx, pages/Expenses/ExpenseDashboardPage.jsx, pages/Expenses/ExpenseList.tsx, pages/Expenses/ExpenseListPage.jsx, pages/Expenses/ExpensesModule.tsx, pages/Financial/Cashbank/DayEndReconciliation.tsx, pages/Financial/Cashbank/PettyCash.tsx, pages/Financial/Invoices/InvoiceDetail.tsx, pages/Onboarding/TenantOnboarding.tsx, pages/People/Employees/AllowanceManagerMockUI.tsx, pages/People/Employees/DailyAttendanceBoardMockUI.tsx, pages/People/Employees/LaborManagerMockUI.tsx, pages/People/Employees/StaffManagerMockUI.tsx, pages/People/Payroll/AttendanceSummaryManagerMockUI.tsx, pages/People/Payroll/PayrollDashboardMockUI.tsx, pages/People/Payroll/PayrollRunsMockUI.tsx, pages/People/Payroll/PayslipViewMockUI.tsx, pages/People/Payroll/SalaryStructureManagerMockUI.tsx, pages/People/Suppliers/SupplierReports.tsx, pages/Pos/POSOrdersIntelligenceMockUI.tsx, pages/Purchase/PaymentOutForm.tsx, pages/Purchase/PaymentOutList.tsx, pages/Reports/ReportsDashboard.tsx, pages/Sales/deliveryChallans/DeliveryChallanCreatorMockUI.tsx, pages/Sales/estimates/EstimateCreatorMockUI.tsx, pages/Sales/estimates/EstimateDetail.tsx, pages/Sales/payments/PaymentIn.tsx, pages/Sales/payments/PaymentInCreatorMockUI.tsx, pages/Sales/payments/PaymentInListMockUI.tsx, pages/Sales/payments/PaymentReceiptDetail.tsx, pages/Sales/returns/ReturnedItemsManagerMockUI.tsx, pages/Sales/returns/SalesReturnMockUI.tsx, pages/Sales/salesInvoices/SalesInvoiceDetailMockUI.tsx, pages/Sales/salesInvoices/SalesInvoiceFormMockUI.tsx, pages/Sales/salesInvoices/SalesInvoiceRegisterMockUI.tsx, pages/Sales/salesOrders/SalesOrderCreatorMockUI.tsx, pages/System/Architecture/ArchitectureIntelligence.tsx, pages/System/Settings/ProfileSettings.tsx, pages/System/Sync/SyncShare.jsx, pages/auth/ResetPasswordDetailed.tsx, pages/auth/TenantLogin.tsx, services/feedbackService.ts, services/loyaltyService.ts, utils/authUtils.ts, utils/darkModeUtils.ts, utils/importHelpers.ts, utils/spacingUtils.ts, utils/tenantFilters.ts.</w:t>
      </w:r>
    </w:p>
    <w:p>
      <w:pPr>
        <w:spacing w:after="120"/>
      </w:pPr>
      <w:r>
        <w:rPr>
          <w:i/>
          <w:iCs/>
          <w:color w:val="555555"/>
          <w:sz w:val="18"/>
          <w:szCs w:val="18"/>
        </w:rPr>
        <w:t xml:space="preserve">Note: data/constants.ts, data/factories.ts, data/plans.ts, data/seedData.ts and setupTests.ts also showed as zero-reference by this method but are very likely false positives — the first four are probably referenced only from the now-deleted "copy" files or other Tier-A files (i.e. dead code referencing other dead code), and setupTests.ts is loaded from vitest’s config, not from another source file, so a source-only scan can never see that reference.</w:t>
      </w:r>
    </w:p>
    <w:p>
      <w:pPr>
        <w:spacing w:after="120"/>
      </w:pPr>
      <w:r>
        <w:rPr>
          <w:b/>
          <w:bCs/>
          <w:sz w:val="20"/>
          <w:szCs w:val="20"/>
        </w:rPr>
        <w:t xml:space="preserve">Tier B — name referenced elsewhere but not import-resolved (95 files), sample:</w:t>
      </w:r>
    </w:p>
    <w:p>
      <w:pPr>
        <w:spacing w:after="120"/>
      </w:pPr>
      <w:r>
        <w:rPr>
          <w:color w:val="555555"/>
          <w:sz w:val="18"/>
          <w:szCs w:val="18"/>
        </w:rPr>
        <w:t xml:space="preserve">components/shared/Table/DataTable.tsx, components/shared/Layout/GrowLayout.tsx, components/shared/Layout/LoadingScreen.tsx, components/core/Feedback/Toast.tsx, components/core/Feedback/FeedbackContext.tsx, pages/Purchase/PurchaseReturn.tsx, pages/Financial/Invoices/Invoice.tsx, pages/Views/LandingPage.tsx, pages/Views/AdminView.tsx, pages/OnlineStore/Storefront.tsx and 4 related Storefront* files, pages/System/Sync/index.tsx and 6 related Sync* section files, pages/System/Data/index.tsx and 4 related Data* section files, redux/rootReducer.ts, redux/storage.ts, redux/types.ts, services/emailService.ts, services/smsService.ts, services/socialService.ts, services/storeService.ts, services/googleBusinessService.ts — full list available on request.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0020" w:sz="6" w:space="4"/>
      </w:pBdr>
      <w:spacing w:after="200" w:before="400"/>
    </w:pPr>
    <w:rPr>
      <w:rFonts w:ascii="Calibri" w:cs="Calibri" w:eastAsia="Calibri" w:hAnsi="Calibri"/>
      <w:b/>
      <w:bCs/>
      <w:color w:val="B00020"/>
      <w:sz w:val="30"/>
      <w:szCs w:val="30"/>
    </w:rPr>
  </w:style>
  <w:style w:type="paragraph" w:styleId="Heading2">
    <w:name w:val="Heading 2"/>
    <w:basedOn w:val="Normal"/>
    <w:next w:val="Normal"/>
    <w:qFormat/>
    <w:pPr>
      <w:spacing w:after="140" w:before="280"/>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2026-09-02T12:45:12.798Z</dcterms:created>
  <dcterms:modified xsi:type="dcterms:W3CDTF">2026-09-02T12:45:12.799Z</dcterms:modified>
</cp:coreProperties>
</file>

<file path=docProps/custom.xml><?xml version="1.0" encoding="utf-8"?>
<Properties xmlns="http://schemas.openxmlformats.org/officeDocument/2006/custom-properties" xmlns:vt="http://schemas.openxmlformats.org/officeDocument/2006/docPropsVTypes"/>
</file>