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jc w:val="center"/>
      </w:pPr>
      <w:r>
        <w:rPr>
          <w:b/>
          <w:bCs/>
          <w:color w:val="1A1A1A"/>
          <w:sz w:val="56"/>
          <w:szCs w:val="56"/>
        </w:rPr>
        <w:t xml:space="preserve">ERP Backend</w:t>
      </w:r>
    </w:p>
    <w:p>
      <w:pPr>
        <w:spacing w:after="400"/>
        <w:jc w:val="center"/>
      </w:pPr>
      <w:r>
        <w:rPr>
          <w:b/>
          <w:bCs/>
          <w:color w:val="B00020"/>
          <w:sz w:val="36"/>
          <w:szCs w:val="36"/>
        </w:rPr>
        <w:t xml:space="preserve">Code Quality &amp; Dead Code Analysis</w:t>
      </w:r>
    </w:p>
    <w:p>
      <w:pPr>
        <w:spacing w:after="100"/>
        <w:jc w:val="center"/>
      </w:pPr>
      <w:r>
        <w:rPr>
          <w:color w:val="555555"/>
          <w:sz w:val="22"/>
          <w:szCs w:val="22"/>
        </w:rPr>
        <w:t xml:space="preserve">Scope: backend/ (Express 4 + TypeScript, Mongoose, ESM)  |  Automated scan against the project’s Code Quality, Dead Code &amp; SonarQube standard</w:t>
      </w:r>
    </w:p>
    <w:p>
      <w:pPr>
        <w:spacing w:after="800"/>
        <w:jc w:val="center"/>
      </w:pPr>
      <w:r>
        <w:rPr>
          <w:color w:val="555555"/>
          <w:sz w:val="20"/>
          <w:szCs w:val="20"/>
        </w:rPr>
        <w:t xml:space="preserve">Prepared September 2,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W w:type="dxa" w:w="6000"/>
            <w:tcMar>
              <w:top w:type="dxa" w:w="100"/>
              <w:left w:type="dxa" w:w="120"/>
              <w:bottom w:type="dxa" w:w="100"/>
              <w:right w:type="dxa" w:w="120"/>
            </w:tcMar>
          </w:tcPr>
          <w:p>
            <w:r>
              <w:rPr>
                <w:b w:val="false"/>
                <w:bCs w:val="false"/>
                <w:sz w:val="20"/>
                <w:szCs w:val="20"/>
              </w:rPr>
              <w:t xml:space="preserve">TS / JS files in src/ scanned</w:t>
            </w:r>
          </w:p>
        </w:tc>
        <w:tc>
          <w:tcPr>
            <w:tcW w:type="dxa" w:w="3000"/>
            <w:tcMar>
              <w:top w:type="dxa" w:w="100"/>
              <w:left w:type="dxa" w:w="120"/>
              <w:bottom w:type="dxa" w:w="100"/>
              <w:right w:type="dxa" w:w="120"/>
            </w:tcMar>
          </w:tcPr>
          <w:p>
            <w:r>
              <w:rPr>
                <w:b/>
                <w:bCs/>
                <w:color w:val="1A1A1A"/>
                <w:sz w:val="20"/>
                <w:szCs w:val="20"/>
              </w:rPr>
              <w:t xml:space="preserve">459</w:t>
            </w:r>
          </w:p>
        </w:tc>
      </w:tr>
      <w:tr>
        <w:tc>
          <w:tcPr>
            <w:tcW w:type="dxa" w:w="6000"/>
            <w:tcMar>
              <w:top w:type="dxa" w:w="100"/>
              <w:left w:type="dxa" w:w="120"/>
              <w:bottom w:type="dxa" w:w="100"/>
              <w:right w:type="dxa" w:w="120"/>
            </w:tcMar>
          </w:tcPr>
          <w:p>
            <w:r>
              <w:rPr>
                <w:b w:val="false"/>
                <w:bCs w:val="false"/>
                <w:sz w:val="20"/>
                <w:szCs w:val="20"/>
              </w:rPr>
              <w:t xml:space="preserve">ESLint config: present before this session</w:t>
            </w:r>
          </w:p>
        </w:tc>
        <w:tc>
          <w:tcPr>
            <w:tcW w:type="dxa" w:w="3000"/>
            <w:tcMar>
              <w:top w:type="dxa" w:w="100"/>
              <w:left w:type="dxa" w:w="120"/>
              <w:bottom w:type="dxa" w:w="100"/>
              <w:right w:type="dxa" w:w="120"/>
            </w:tcMar>
          </w:tcPr>
          <w:p>
            <w:r>
              <w:rPr>
                <w:b/>
                <w:bCs/>
                <w:color w:val="B00020"/>
                <w:sz w:val="20"/>
                <w:szCs w:val="20"/>
              </w:rPr>
              <w:t xml:space="preserve">No</w:t>
            </w:r>
          </w:p>
        </w:tc>
      </w:tr>
      <w:tr>
        <w:tc>
          <w:tcPr>
            <w:tcW w:type="dxa" w:w="6000"/>
            <w:tcMar>
              <w:top w:type="dxa" w:w="100"/>
              <w:left w:type="dxa" w:w="120"/>
              <w:bottom w:type="dxa" w:w="100"/>
              <w:right w:type="dxa" w:w="120"/>
            </w:tcMar>
          </w:tcPr>
          <w:p>
            <w:r>
              <w:rPr>
                <w:b w:val="false"/>
                <w:bCs w:val="false"/>
                <w:sz w:val="20"/>
                <w:szCs w:val="20"/>
              </w:rPr>
              <w:t xml:space="preserve">ESLint errors found once lint tooling was fixed</w:t>
            </w:r>
          </w:p>
        </w:tc>
        <w:tc>
          <w:tcPr>
            <w:tcW w:type="dxa" w:w="3000"/>
            <w:tcMar>
              <w:top w:type="dxa" w:w="100"/>
              <w:left w:type="dxa" w:w="120"/>
              <w:bottom w:type="dxa" w:w="100"/>
              <w:right w:type="dxa" w:w="120"/>
            </w:tcMar>
          </w:tcPr>
          <w:p>
            <w:r>
              <w:rPr>
                <w:b/>
                <w:bCs/>
                <w:color w:val="B00020"/>
                <w:sz w:val="20"/>
                <w:szCs w:val="20"/>
              </w:rPr>
              <w:t xml:space="preserve">27</w:t>
            </w:r>
          </w:p>
        </w:tc>
      </w:tr>
      <w:tr>
        <w:tc>
          <w:tcPr>
            <w:tcW w:type="dxa" w:w="6000"/>
            <w:tcMar>
              <w:top w:type="dxa" w:w="100"/>
              <w:left w:type="dxa" w:w="120"/>
              <w:bottom w:type="dxa" w:w="100"/>
              <w:right w:type="dxa" w:w="120"/>
            </w:tcMar>
          </w:tcPr>
          <w:p>
            <w:r>
              <w:rPr>
                <w:b w:val="false"/>
                <w:bCs w:val="false"/>
                <w:sz w:val="20"/>
                <w:szCs w:val="20"/>
              </w:rPr>
              <w:t xml:space="preserve">`tsc --noEmit` errors, before and after</w:t>
            </w:r>
          </w:p>
        </w:tc>
        <w:tc>
          <w:tcPr>
            <w:tcW w:type="dxa" w:w="3000"/>
            <w:tcMar>
              <w:top w:type="dxa" w:w="100"/>
              <w:left w:type="dxa" w:w="120"/>
              <w:bottom w:type="dxa" w:w="100"/>
              <w:right w:type="dxa" w:w="120"/>
            </w:tcMar>
          </w:tcPr>
          <w:p>
            <w:r>
              <w:rPr>
                <w:b/>
                <w:bCs/>
                <w:color w:val="0A7A2F"/>
                <w:sz w:val="20"/>
                <w:szCs w:val="20"/>
              </w:rPr>
              <w:t xml:space="preserve">0</w:t>
            </w:r>
          </w:p>
        </w:tc>
      </w:tr>
      <w:tr>
        <w:tc>
          <w:tcPr>
            <w:tcW w:type="dxa" w:w="6000"/>
            <w:tcMar>
              <w:top w:type="dxa" w:w="100"/>
              <w:left w:type="dxa" w:w="120"/>
              <w:bottom w:type="dxa" w:w="100"/>
              <w:right w:type="dxa" w:w="120"/>
            </w:tcMar>
          </w:tcPr>
          <w:p>
            <w:r>
              <w:rPr>
                <w:b w:val="false"/>
                <w:bCs w:val="false"/>
                <w:sz w:val="20"/>
                <w:szCs w:val="20"/>
              </w:rPr>
              <w:t xml:space="preserve">Dead console.log statements removed</w:t>
            </w:r>
          </w:p>
        </w:tc>
        <w:tc>
          <w:tcPr>
            <w:tcW w:type="dxa" w:w="3000"/>
            <w:tcMar>
              <w:top w:type="dxa" w:w="100"/>
              <w:left w:type="dxa" w:w="120"/>
              <w:bottom w:type="dxa" w:w="100"/>
              <w:right w:type="dxa" w:w="120"/>
            </w:tcMar>
          </w:tcPr>
          <w:p>
            <w:r>
              <w:rPr>
                <w:b/>
                <w:bCs/>
                <w:color w:val="1A1A1A"/>
                <w:sz w:val="20"/>
                <w:szCs w:val="20"/>
              </w:rPr>
              <w:t xml:space="preserve">8</w:t>
            </w:r>
          </w:p>
        </w:tc>
      </w:tr>
      <w:tr>
        <w:tc>
          <w:tcPr>
            <w:tcW w:type="dxa" w:w="6000"/>
            <w:tcMar>
              <w:top w:type="dxa" w:w="100"/>
              <w:left w:type="dxa" w:w="120"/>
              <w:bottom w:type="dxa" w:w="100"/>
              <w:right w:type="dxa" w:w="120"/>
            </w:tcMar>
          </w:tcPr>
          <w:p>
            <w:r>
              <w:rPr>
                <w:b w:val="false"/>
                <w:bCs w:val="false"/>
                <w:sz w:val="20"/>
                <w:szCs w:val="20"/>
              </w:rPr>
              <w:t xml:space="preserve">Files with zero references anywhere — needs manual review</w:t>
            </w:r>
          </w:p>
        </w:tc>
        <w:tc>
          <w:tcPr>
            <w:tcW w:type="dxa" w:w="3000"/>
            <w:tcMar>
              <w:top w:type="dxa" w:w="100"/>
              <w:left w:type="dxa" w:w="120"/>
              <w:bottom w:type="dxa" w:w="100"/>
              <w:right w:type="dxa" w:w="120"/>
            </w:tcMar>
          </w:tcPr>
          <w:p>
            <w:r>
              <w:rPr>
                <w:b/>
                <w:bCs/>
                <w:color w:val="B00020"/>
                <w:sz w:val="20"/>
                <w:szCs w:val="20"/>
              </w:rPr>
              <w:t xml:space="preserve">17</w:t>
            </w:r>
          </w:p>
        </w:tc>
      </w:tr>
    </w:tbl>
    <w:p>
      <w:r>
        <w:br w:type="page"/>
      </w:r>
    </w:p>
    <w:p>
      <w:pPr>
        <w:pStyle w:val="Heading1"/>
        <w:spacing w:after="200" w:before="400"/>
      </w:pPr>
      <w:r>
        <w:t xml:space="preserve">1. Executive Summary</w:t>
      </w:r>
    </w:p>
    <w:p>
      <w:pPr>
        <w:spacing w:after="120"/>
      </w:pPr>
      <w:r>
        <w:rPr>
          <w:sz w:val="20"/>
          <w:szCs w:val="20"/>
        </w:rPr>
        <w:t xml:space="preserve">This is the backend companion to the frontend Code Quality &amp; Dead Code Analysis delivered earlier, applying the same standard to backend/ (Express 4, TypeScript, Mongoose/MongoDB, ESM). The headline finding is different in kind from the frontend’s: backend/package.json declares an ESLint dependency and a lint script, but the project never actually had a working lint config of its own — running `npm run lint` silently picked up an unrelated, React-oriented config file at the monorepo root and crashed outright. That means lint-based dead-code detection had likely never successfully run against this codebase before. Fixing that was the precondition for everything else in this report.</w:t>
      </w:r>
    </w:p>
    <w:p>
      <w:pPr>
        <w:spacing w:after="120"/>
      </w:pPr>
      <w:r>
        <w:rPr>
          <w:sz w:val="20"/>
          <w:szCs w:val="20"/>
        </w:rPr>
        <w:t xml:space="preserve">Once linting was fixed, the codebase turned out to be in noticeably better shape than the frontend was: TypeScript is already running in strict mode with `noUnusedLocals`/`noUnusedParameters` enabled, and `tsc --noEmit` was clean both before and after this session’s changes — there were no live type errors or rules-of-hooks-style correctness bugs to find, because there’s no React here. The 27 ESLint errors that surfaced were all mechanical (prefer-const, deprecated `@ts-ignore` usage, a couple of real small bugs) and are now all fixed. Dead code was comparatively light: a stray `0` token, a superseded disabled security check, some leftover debug console.log dumps, and 17 files with zero references anywhere that are documented but deliberately not deleted (see Section 6 — backend service/model deletions carry more risk than frontend page deletions, and this sandbox has no live database to verify the app still boots correctly afterward).</w:t>
      </w:r>
    </w:p>
    <w:p>
      <w:pPr>
        <w:spacing w:after="120"/>
      </w:pPr>
      <w:r>
        <w:rPr>
          <w:b/>
          <w:bCs/>
          <w:sz w:val="20"/>
          <w:szCs w:val="20"/>
        </w:rPr>
        <w:t xml:space="preserve">One thing could not be verified: the Jest test suite requires a live MongoDB connection and hangs indefinitely without one. It was not possible to confirm the test suite still passes after these changes in this sandbox — please run `npm test` locally as the equivalent of the frontend report’s "run npm run build locally" step.</w:t>
      </w:r>
    </w:p>
    <w:p>
      <w:pPr>
        <w:pStyle w:val="Heading1"/>
        <w:spacing w:after="200" w:before="400"/>
      </w:pPr>
      <w:r>
        <w:t xml:space="preserve">2. Scope &amp; Method</w:t>
      </w:r>
    </w:p>
    <w:p>
      <w:pPr>
        <w:spacing w:after="120"/>
      </w:pPr>
      <w:r>
        <w:rPr>
          <w:sz w:val="20"/>
          <w:szCs w:val="20"/>
        </w:rPr>
        <w:t xml:space="preserve">Scope: backend/src (459 .ts/.js files after excluding dist, coverage, node_modules, and two unrelated app subtrees — apps/ and budget-planner-api/ — that are not part of this backend service). Depth: automated scan (ESLint + tsc), the same as the frontend pass, plus manual triage of every error and a representative sample of warnings before deciding what to fix vs. document.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2B2B2B" w:val="clear"/>
            <w:tcMar>
              <w:top w:type="dxa" w:w="80"/>
              <w:left w:type="dxa" w:w="100"/>
              <w:bottom w:type="dxa" w:w="80"/>
              <w:right w:type="dxa" w:w="100"/>
            </w:tcMar>
          </w:tcPr>
          <w:p>
            <w:r>
              <w:rPr>
                <w:b/>
                <w:bCs/>
                <w:color w:val="FFFFFF"/>
                <w:sz w:val="18"/>
                <w:szCs w:val="18"/>
              </w:rPr>
              <w:t xml:space="preserve">Tool</w:t>
            </w:r>
          </w:p>
        </w:tc>
        <w:tc>
          <w:tcPr>
            <w:tcW w:type="dxa" w:w="4800"/>
            <w:shd w:fill="2B2B2B" w:val="clear"/>
            <w:tcMar>
              <w:top w:type="dxa" w:w="80"/>
              <w:left w:type="dxa" w:w="100"/>
              <w:bottom w:type="dxa" w:w="80"/>
              <w:right w:type="dxa" w:w="100"/>
            </w:tcMar>
          </w:tcPr>
          <w:p>
            <w:r>
              <w:rPr>
                <w:b/>
                <w:bCs/>
                <w:color w:val="FFFFFF"/>
                <w:sz w:val="18"/>
                <w:szCs w:val="18"/>
              </w:rPr>
              <w:t xml:space="preserve">Result</w:t>
            </w:r>
          </w:p>
        </w:tc>
      </w:tr>
      <w:tr>
        <w:tc>
          <w:tcPr>
            <w:tcW w:type="dxa" w:w="4200"/>
            <w:shd w:fill="FFFFFF" w:val="clear"/>
            <w:tcMar>
              <w:top w:type="dxa" w:w="60"/>
              <w:left w:type="dxa" w:w="100"/>
              <w:bottom w:type="dxa" w:w="60"/>
              <w:right w:type="dxa" w:w="100"/>
            </w:tcMar>
          </w:tcPr>
          <w:p>
            <w:r>
              <w:rPr>
                <w:sz w:val="18"/>
                <w:szCs w:val="18"/>
              </w:rPr>
              <w:t xml:space="preserve">`tsc --noEmit` (strict mode, already configured)</w:t>
            </w:r>
          </w:p>
        </w:tc>
        <w:tc>
          <w:tcPr>
            <w:tcW w:type="dxa" w:w="4800"/>
            <w:shd w:fill="FFFFFF" w:val="clear"/>
            <w:tcMar>
              <w:top w:type="dxa" w:w="60"/>
              <w:left w:type="dxa" w:w="100"/>
              <w:bottom w:type="dxa" w:w="60"/>
              <w:right w:type="dxa" w:w="100"/>
            </w:tcMar>
          </w:tcPr>
          <w:p>
            <w:r>
              <w:rPr>
                <w:sz w:val="18"/>
                <w:szCs w:val="18"/>
              </w:rPr>
              <w:t xml:space="preserve">0 errors, both before and after this session</w:t>
            </w:r>
          </w:p>
        </w:tc>
      </w:tr>
      <w:tr>
        <w:tc>
          <w:tcPr>
            <w:tcW w:type="dxa" w:w="4200"/>
            <w:shd w:fill="F5F5F5" w:val="clear"/>
            <w:tcMar>
              <w:top w:type="dxa" w:w="60"/>
              <w:left w:type="dxa" w:w="100"/>
              <w:bottom w:type="dxa" w:w="60"/>
              <w:right w:type="dxa" w:w="100"/>
            </w:tcMar>
          </w:tcPr>
          <w:p>
            <w:r>
              <w:rPr>
                <w:sz w:val="18"/>
                <w:szCs w:val="18"/>
              </w:rPr>
              <w:t xml:space="preserve">`tsc` full build (`npm run build`)</w:t>
            </w:r>
          </w:p>
        </w:tc>
        <w:tc>
          <w:tcPr>
            <w:tcW w:type="dxa" w:w="4800"/>
            <w:shd w:fill="F5F5F5" w:val="clear"/>
            <w:tcMar>
              <w:top w:type="dxa" w:w="60"/>
              <w:left w:type="dxa" w:w="100"/>
              <w:bottom w:type="dxa" w:w="60"/>
              <w:right w:type="dxa" w:w="100"/>
            </w:tcMar>
          </w:tcPr>
          <w:p>
            <w:r>
              <w:rPr>
                <w:sz w:val="18"/>
                <w:szCs w:val="18"/>
              </w:rPr>
              <w:t xml:space="preserve">0 errors — build succeeds</w:t>
            </w:r>
          </w:p>
        </w:tc>
      </w:tr>
      <w:tr>
        <w:tc>
          <w:tcPr>
            <w:tcW w:type="dxa" w:w="4200"/>
            <w:shd w:fill="FFFFFF" w:val="clear"/>
            <w:tcMar>
              <w:top w:type="dxa" w:w="60"/>
              <w:left w:type="dxa" w:w="100"/>
              <w:bottom w:type="dxa" w:w="60"/>
              <w:right w:type="dxa" w:w="100"/>
            </w:tcMar>
          </w:tcPr>
          <w:p>
            <w:r>
              <w:rPr>
                <w:sz w:val="18"/>
                <w:szCs w:val="18"/>
              </w:rPr>
              <w:t xml:space="preserve">ESLint (after fixing the config — see Section 3)</w:t>
            </w:r>
          </w:p>
        </w:tc>
        <w:tc>
          <w:tcPr>
            <w:tcW w:type="dxa" w:w="4800"/>
            <w:shd w:fill="FFFFFF" w:val="clear"/>
            <w:tcMar>
              <w:top w:type="dxa" w:w="60"/>
              <w:left w:type="dxa" w:w="100"/>
              <w:bottom w:type="dxa" w:w="60"/>
              <w:right w:type="dxa" w:w="100"/>
            </w:tcMar>
          </w:tcPr>
          <w:p>
            <w:r>
              <w:rPr>
                <w:sz w:val="18"/>
                <w:szCs w:val="18"/>
              </w:rPr>
              <w:t xml:space="preserve">459 files, 0 parse errors, 27 → 0 errors, 73 → 71 warnings (all `no-unused-vars`)</w:t>
            </w:r>
          </w:p>
        </w:tc>
      </w:tr>
      <w:tr>
        <w:tc>
          <w:tcPr>
            <w:tcW w:type="dxa" w:w="4200"/>
            <w:shd w:fill="F5F5F5" w:val="clear"/>
            <w:tcMar>
              <w:top w:type="dxa" w:w="60"/>
              <w:left w:type="dxa" w:w="100"/>
              <w:bottom w:type="dxa" w:w="60"/>
              <w:right w:type="dxa" w:w="100"/>
            </w:tcMar>
          </w:tcPr>
          <w:p>
            <w:r>
              <w:rPr>
                <w:sz w:val="18"/>
                <w:szCs w:val="18"/>
              </w:rPr>
              <w:t xml:space="preserve">`npm test` (Jest, 100+ e2e/regression tests)</w:t>
            </w:r>
          </w:p>
        </w:tc>
        <w:tc>
          <w:tcPr>
            <w:tcW w:type="dxa" w:w="4800"/>
            <w:shd w:fill="F5F5F5" w:val="clear"/>
            <w:tcMar>
              <w:top w:type="dxa" w:w="60"/>
              <w:left w:type="dxa" w:w="100"/>
              <w:bottom w:type="dxa" w:w="60"/>
              <w:right w:type="dxa" w:w="100"/>
            </w:tcMar>
          </w:tcPr>
          <w:p>
            <w:r>
              <w:rPr>
                <w:sz w:val="18"/>
                <w:szCs w:val="18"/>
              </w:rPr>
              <w:t xml:space="preserve">Could not run — requires a live MongoDB connection (mongodb://localhost:27017) and hangs indefinitely without one in this sandbox</w:t>
            </w:r>
          </w:p>
        </w:tc>
      </w:tr>
    </w:tbl>
    <w:p>
      <w:pPr>
        <w:pStyle w:val="Heading1"/>
        <w:spacing w:after="200" w:before="400"/>
      </w:pPr>
      <w:r>
        <w:t xml:space="preserve">3. Critical Finding: Lint Tooling Was Never Actually Working</w:t>
      </w:r>
    </w:p>
    <w:p>
      <w:pPr>
        <w:spacing w:after="120"/>
      </w:pPr>
      <w:r>
        <w:rPr>
          <w:sz w:val="20"/>
          <w:szCs w:val="20"/>
        </w:rPr>
        <w:t xml:space="preserve">backend/package.json declares `"eslint": "^8.56.0"` as a dependency and a `"lint": "eslint ."` script, but there is no `eslint.config.js`, `.eslintrc.json`, or any other ESLint config file anywhere under backend/. Running the lint script did not report "no config found" — it silently walked up the directory tree and picked up `/eslint.config.js` at the monorepo root, which is a config written for the frontend (React rules, browser globals, `files: ['**/*.{ts,tsx}']`). Applying that config to backend/ is wrong on its own terms, and it additionally crashed outright:</w:t>
      </w:r>
    </w:p>
    <w:p>
      <w:pPr>
        <w:shd w:fill="F0F0F0" w:val="clear"/>
        <w:spacing w:after="0"/>
      </w:pPr>
      <w:r>
        <w:rPr>
          <w:rFonts w:ascii="Consolas" w:cs="Consolas" w:eastAsia="Consolas" w:hAnsi="Consolas"/>
          <w:color w:val="333333"/>
          <w:sz w:val="18"/>
          <w:szCs w:val="18"/>
        </w:rPr>
        <w:t xml:space="preserve">TypeError: Error while loading rule '@typescript-eslint/no-unused-expressions':</w:t>
      </w:r>
    </w:p>
    <w:p>
      <w:pPr>
        <w:shd w:fill="F0F0F0" w:val="clear"/>
        <w:spacing w:after="0"/>
      </w:pPr>
      <w:r>
        <w:rPr>
          <w:rFonts w:ascii="Consolas" w:cs="Consolas" w:eastAsia="Consolas" w:hAnsi="Consolas"/>
          <w:color w:val="333333"/>
          <w:sz w:val="18"/>
          <w:szCs w:val="18"/>
        </w:rPr>
        <w:t xml:space="preserve">  Cannot read properties of undefined (reading 'allowShortCircuit')</w:t>
      </w:r>
    </w:p>
    <w:p>
      <w:pPr>
        <w:shd w:fill="F0F0F0" w:val="clear"/>
        <w:spacing w:after="80"/>
      </w:pPr>
      <w:r>
        <w:rPr>
          <w:rFonts w:ascii="Consolas" w:cs="Consolas" w:eastAsia="Consolas" w:hAnsi="Consolas"/>
          <w:color w:val="333333"/>
          <w:sz w:val="18"/>
          <w:szCs w:val="18"/>
        </w:rPr>
        <w:t xml:space="preserve">Occurred while linting backend/create_plan.ts</w:t>
      </w:r>
    </w:p>
    <w:p>
      <w:pPr>
        <w:spacing w:after="120"/>
      </w:pPr>
      <w:r>
        <w:rPr>
          <w:sz w:val="20"/>
          <w:szCs w:val="20"/>
        </w:rPr>
        <w:t xml:space="preserve">Root cause: backend’s own `node_modules` pins ESLint 8.57.1 but has no `@typescript-eslint/*` packages of its own, so when the root config loaded, it resolved `@typescript-eslint/eslint-plugin` from the monorepo root’s hoisted `node_modules` instead — a newer major version whose rules assume default-options merging behavior that ESLint 8’s flat-config linter doesn’t provide (that merging was added in ESLint 9). The practical effect: `npm run lint` has likely never completed a real run against this codebase, which means none of ESLint’s unused-var/dead-code detection has been available to catch anything here up to now.</w:t>
      </w:r>
    </w:p>
    <w:p>
      <w:pPr>
        <w:pStyle w:val="Heading2"/>
        <w:spacing w:after="150" w:before="300"/>
      </w:pPr>
      <w:r>
        <w:t xml:space="preserve">3.1 — Fix applied</w:t>
      </w:r>
    </w:p>
    <w:p>
      <w:pPr>
        <w:spacing w:after="120"/>
      </w:pPr>
      <w:r>
        <w:rPr>
          <w:sz w:val="20"/>
          <w:szCs w:val="20"/>
        </w:rPr>
        <w:t xml:space="preserve">Added a dedicated backend/eslint.config.js scoped to backend/ (Node.js globals instead of browser, no React plugins, TypeScript-aware rules) and ran it via the monorepo root’s already-working ESLint 9 binary — no new dependencies were installed, and backend’s own package.json and node_modules are untouched. This is the same class of fix that unblocked the frontend session (that repo’s `eslint.config.js` was also misconfigured, in a different way), just applied to a backend that had no config of its own to begin with.</w:t>
      </w:r>
    </w:p>
    <w:p>
      <w:pPr>
        <w:shd w:fill="F0F0F0" w:val="clear"/>
        <w:spacing w:after="0"/>
      </w:pPr>
      <w:r>
        <w:rPr>
          <w:rFonts w:ascii="Consolas" w:cs="Consolas" w:eastAsia="Consolas" w:hAnsi="Consolas"/>
          <w:color w:val="333333"/>
          <w:sz w:val="18"/>
          <w:szCs w:val="18"/>
        </w:rPr>
        <w:t xml:space="preserve">backend/eslint.config.js (new file)</w:t>
      </w:r>
    </w:p>
    <w:p>
      <w:pPr>
        <w:shd w:fill="F0F0F0" w:val="clear"/>
        <w:spacing w:after="0"/>
      </w:pPr>
      <w:r>
        <w:rPr>
          <w:rFonts w:ascii="Consolas" w:cs="Consolas" w:eastAsia="Consolas" w:hAnsi="Consolas"/>
          <w:color w:val="333333"/>
          <w:sz w:val="18"/>
          <w:szCs w:val="18"/>
        </w:rPr>
        <w:t xml:space="preserve"> </w:t>
      </w:r>
    </w:p>
    <w:p>
      <w:pPr>
        <w:shd w:fill="F0F0F0" w:val="clear"/>
        <w:spacing w:after="0"/>
      </w:pPr>
      <w:r>
        <w:rPr>
          <w:rFonts w:ascii="Consolas" w:cs="Consolas" w:eastAsia="Consolas" w:hAnsi="Consolas"/>
          <w:color w:val="333333"/>
          <w:sz w:val="18"/>
          <w:szCs w:val="18"/>
        </w:rPr>
        <w:t xml:space="preserve">import js from '@eslint/js';</w:t>
      </w:r>
    </w:p>
    <w:p>
      <w:pPr>
        <w:shd w:fill="F0F0F0" w:val="clear"/>
        <w:spacing w:after="0"/>
      </w:pPr>
      <w:r>
        <w:rPr>
          <w:rFonts w:ascii="Consolas" w:cs="Consolas" w:eastAsia="Consolas" w:hAnsi="Consolas"/>
          <w:color w:val="333333"/>
          <w:sz w:val="18"/>
          <w:szCs w:val="18"/>
        </w:rPr>
        <w:t xml:space="preserve">import globals from 'globals';</w:t>
      </w:r>
    </w:p>
    <w:p>
      <w:pPr>
        <w:shd w:fill="F0F0F0" w:val="clear"/>
        <w:spacing w:after="0"/>
      </w:pPr>
      <w:r>
        <w:rPr>
          <w:rFonts w:ascii="Consolas" w:cs="Consolas" w:eastAsia="Consolas" w:hAnsi="Consolas"/>
          <w:color w:val="333333"/>
          <w:sz w:val="18"/>
          <w:szCs w:val="18"/>
        </w:rPr>
        <w:t xml:space="preserve">import tseslint from 'typescript-eslint';</w:t>
      </w:r>
    </w:p>
    <w:p>
      <w:pPr>
        <w:shd w:fill="F0F0F0" w:val="clear"/>
        <w:spacing w:after="0"/>
      </w:pPr>
      <w:r>
        <w:rPr>
          <w:rFonts w:ascii="Consolas" w:cs="Consolas" w:eastAsia="Consolas" w:hAnsi="Consolas"/>
          <w:color w:val="333333"/>
          <w:sz w:val="18"/>
          <w:szCs w:val="18"/>
        </w:rPr>
        <w:t xml:space="preserve"> </w:t>
      </w:r>
    </w:p>
    <w:p>
      <w:pPr>
        <w:shd w:fill="F0F0F0" w:val="clear"/>
        <w:spacing w:after="0"/>
      </w:pPr>
      <w:r>
        <w:rPr>
          <w:rFonts w:ascii="Consolas" w:cs="Consolas" w:eastAsia="Consolas" w:hAnsi="Consolas"/>
          <w:color w:val="333333"/>
          <w:sz w:val="18"/>
          <w:szCs w:val="18"/>
        </w:rPr>
        <w:t xml:space="preserve">export default tseslint.config(</w:t>
      </w:r>
    </w:p>
    <w:p>
      <w:pPr>
        <w:shd w:fill="F0F0F0" w:val="clear"/>
        <w:spacing w:after="0"/>
      </w:pPr>
      <w:r>
        <w:rPr>
          <w:rFonts w:ascii="Consolas" w:cs="Consolas" w:eastAsia="Consolas" w:hAnsi="Consolas"/>
          <w:color w:val="333333"/>
          <w:sz w:val="18"/>
          <w:szCs w:val="18"/>
        </w:rPr>
        <w:t xml:space="preserve">    { ignores: ['dist', 'coverage', 'node_modules', 'apps', 'budget-planner-api'] },</w:t>
      </w:r>
    </w:p>
    <w:p>
      <w:pPr>
        <w:shd w:fill="F0F0F0" w:val="clear"/>
        <w:spacing w:after="0"/>
      </w:pPr>
      <w:r>
        <w:rPr>
          <w:rFonts w:ascii="Consolas" w:cs="Consolas" w:eastAsia="Consolas" w:hAnsi="Consolas"/>
          <w:color w:val="333333"/>
          <w:sz w:val="18"/>
          <w:szCs w:val="18"/>
        </w:rPr>
        <w:t xml:space="preserve">    {</w:t>
      </w:r>
    </w:p>
    <w:p>
      <w:pPr>
        <w:shd w:fill="F0F0F0" w:val="clear"/>
        <w:spacing w:after="0"/>
      </w:pPr>
      <w:r>
        <w:rPr>
          <w:rFonts w:ascii="Consolas" w:cs="Consolas" w:eastAsia="Consolas" w:hAnsi="Consolas"/>
          <w:color w:val="333333"/>
          <w:sz w:val="18"/>
          <w:szCs w:val="18"/>
        </w:rPr>
        <w:t xml:space="preserve">        files: ['**/*.{ts,js}'],</w:t>
      </w:r>
    </w:p>
    <w:p>
      <w:pPr>
        <w:shd w:fill="F0F0F0" w:val="clear"/>
        <w:spacing w:after="0"/>
      </w:pPr>
      <w:r>
        <w:rPr>
          <w:rFonts w:ascii="Consolas" w:cs="Consolas" w:eastAsia="Consolas" w:hAnsi="Consolas"/>
          <w:color w:val="333333"/>
          <w:sz w:val="18"/>
          <w:szCs w:val="18"/>
        </w:rPr>
        <w:t xml:space="preserve">        extends: [js.configs.recommended, ...tseslint.configs.recommended],</w:t>
      </w:r>
    </w:p>
    <w:p>
      <w:pPr>
        <w:shd w:fill="F0F0F0" w:val="clear"/>
        <w:spacing w:after="0"/>
      </w:pPr>
      <w:r>
        <w:rPr>
          <w:rFonts w:ascii="Consolas" w:cs="Consolas" w:eastAsia="Consolas" w:hAnsi="Consolas"/>
          <w:color w:val="333333"/>
          <w:sz w:val="18"/>
          <w:szCs w:val="18"/>
        </w:rPr>
        <w:t xml:space="preserve">        languageOptions: {</w:t>
      </w:r>
    </w:p>
    <w:p>
      <w:pPr>
        <w:shd w:fill="F0F0F0" w:val="clear"/>
        <w:spacing w:after="0"/>
      </w:pPr>
      <w:r>
        <w:rPr>
          <w:rFonts w:ascii="Consolas" w:cs="Consolas" w:eastAsia="Consolas" w:hAnsi="Consolas"/>
          <w:color w:val="333333"/>
          <w:sz w:val="18"/>
          <w:szCs w:val="18"/>
        </w:rPr>
        <w:t xml:space="preserve">            ecmaVersion: 2022,</w:t>
      </w:r>
    </w:p>
    <w:p>
      <w:pPr>
        <w:shd w:fill="F0F0F0" w:val="clear"/>
        <w:spacing w:after="0"/>
      </w:pPr>
      <w:r>
        <w:rPr>
          <w:rFonts w:ascii="Consolas" w:cs="Consolas" w:eastAsia="Consolas" w:hAnsi="Consolas"/>
          <w:color w:val="333333"/>
          <w:sz w:val="18"/>
          <w:szCs w:val="18"/>
        </w:rPr>
        <w:t xml:space="preserve">            sourceType: 'module',</w:t>
      </w:r>
    </w:p>
    <w:p>
      <w:pPr>
        <w:shd w:fill="F0F0F0" w:val="clear"/>
        <w:spacing w:after="0"/>
      </w:pPr>
      <w:r>
        <w:rPr>
          <w:rFonts w:ascii="Consolas" w:cs="Consolas" w:eastAsia="Consolas" w:hAnsi="Consolas"/>
          <w:color w:val="333333"/>
          <w:sz w:val="18"/>
          <w:szCs w:val="18"/>
        </w:rPr>
        <w:t xml:space="preserve">            globals: { ...globals.node },</w:t>
      </w:r>
    </w:p>
    <w:p>
      <w:pPr>
        <w:shd w:fill="F0F0F0" w:val="clear"/>
        <w:spacing w:after="0"/>
      </w:pPr>
      <w:r>
        <w:rPr>
          <w:rFonts w:ascii="Consolas" w:cs="Consolas" w:eastAsia="Consolas" w:hAnsi="Consolas"/>
          <w:color w:val="333333"/>
          <w:sz w:val="18"/>
          <w:szCs w:val="18"/>
        </w:rPr>
        <w:t xml:space="preserve">        },</w:t>
      </w:r>
    </w:p>
    <w:p>
      <w:pPr>
        <w:shd w:fill="F0F0F0" w:val="clear"/>
        <w:spacing w:after="0"/>
      </w:pPr>
      <w:r>
        <w:rPr>
          <w:rFonts w:ascii="Consolas" w:cs="Consolas" w:eastAsia="Consolas" w:hAnsi="Consolas"/>
          <w:color w:val="333333"/>
          <w:sz w:val="18"/>
          <w:szCs w:val="18"/>
        </w:rPr>
        <w:t xml:space="preserve">        rules: {</w:t>
      </w:r>
    </w:p>
    <w:p>
      <w:pPr>
        <w:shd w:fill="F0F0F0" w:val="clear"/>
        <w:spacing w:after="0"/>
      </w:pPr>
      <w:r>
        <w:rPr>
          <w:rFonts w:ascii="Consolas" w:cs="Consolas" w:eastAsia="Consolas" w:hAnsi="Consolas"/>
          <w:color w:val="333333"/>
          <w:sz w:val="18"/>
          <w:szCs w:val="18"/>
        </w:rPr>
        <w:t xml:space="preserve">            '@typescript-eslint/no-unused-vars': ['warn', { varsIgnorePattern: '^_', argsIgnorePattern: '^_' }],</w:t>
      </w:r>
    </w:p>
    <w:p>
      <w:pPr>
        <w:shd w:fill="F0F0F0" w:val="clear"/>
        <w:spacing w:after="0"/>
      </w:pPr>
      <w:r>
        <w:rPr>
          <w:rFonts w:ascii="Consolas" w:cs="Consolas" w:eastAsia="Consolas" w:hAnsi="Consolas"/>
          <w:color w:val="333333"/>
          <w:sz w:val="18"/>
          <w:szCs w:val="18"/>
        </w:rPr>
        <w:t xml:space="preserve">            '@typescript-eslint/no-explicit-any': 'off',</w:t>
      </w:r>
    </w:p>
    <w:p>
      <w:pPr>
        <w:shd w:fill="F0F0F0" w:val="clear"/>
        <w:spacing w:after="0"/>
      </w:pPr>
      <w:r>
        <w:rPr>
          <w:rFonts w:ascii="Consolas" w:cs="Consolas" w:eastAsia="Consolas" w:hAnsi="Consolas"/>
          <w:color w:val="333333"/>
          <w:sz w:val="18"/>
          <w:szCs w:val="18"/>
        </w:rPr>
        <w:t xml:space="preserve">            '@typescript-eslint/no-namespace': ['error', { allowDeclarations: true }],</w:t>
      </w:r>
    </w:p>
    <w:p>
      <w:pPr>
        <w:shd w:fill="F0F0F0" w:val="clear"/>
        <w:spacing w:after="0"/>
      </w:pPr>
      <w:r>
        <w:rPr>
          <w:rFonts w:ascii="Consolas" w:cs="Consolas" w:eastAsia="Consolas" w:hAnsi="Consolas"/>
          <w:color w:val="333333"/>
          <w:sz w:val="18"/>
          <w:szCs w:val="18"/>
        </w:rPr>
        <w:t xml:space="preserve">        },</w:t>
      </w:r>
    </w:p>
    <w:p>
      <w:pPr>
        <w:shd w:fill="F0F0F0" w:val="clear"/>
        <w:spacing w:after="0"/>
      </w:pPr>
      <w:r>
        <w:rPr>
          <w:rFonts w:ascii="Consolas" w:cs="Consolas" w:eastAsia="Consolas" w:hAnsi="Consolas"/>
          <w:color w:val="333333"/>
          <w:sz w:val="18"/>
          <w:szCs w:val="18"/>
        </w:rPr>
        <w:t xml:space="preserve">    },</w:t>
      </w:r>
    </w:p>
    <w:p>
      <w:pPr>
        <w:shd w:fill="F0F0F0" w:val="clear"/>
        <w:spacing w:after="80"/>
      </w:pPr>
      <w:r>
        <w:rPr>
          <w:rFonts w:ascii="Consolas" w:cs="Consolas" w:eastAsia="Consolas" w:hAnsi="Consolas"/>
          <w:color w:val="333333"/>
          <w:sz w:val="18"/>
          <w:szCs w:val="18"/>
        </w:rPr>
        <w:t xml:space="preserve">);</w:t>
      </w:r>
    </w:p>
    <w:p>
      <w:pPr>
        <w:spacing w:after="120"/>
      </w:pPr>
      <w:r>
        <w:rPr>
          <w:sz w:val="20"/>
          <w:szCs w:val="20"/>
        </w:rPr>
        <w:t xml:space="preserve">Recommendation: run `npm install --save-dev @typescript-eslint/eslint-plugin @typescript-eslint/parser` (or the `typescript-eslint` meta-package) directly into backend’s own package.json so `npm run lint` works standalone, the way it’s declared to, without depending on the monorepo root’s hoisted packages or this session’s workaround. That install was deliberately not done here, per this project’s "do not add a dependency unless required" guidance — the workaround config was enough to run this analysis without changing backend’s dependency tree.</w:t>
      </w:r>
    </w:p>
    <w:p>
      <w:pPr>
        <w:pStyle w:val="Heading1"/>
        <w:spacing w:after="200" w:before="400"/>
      </w:pPr>
      <w:r>
        <w:t xml:space="preserve">4. ESLint Errors — All 27 Fixed</w:t>
      </w:r>
    </w:p>
    <w:p>
      <w:pPr>
        <w:spacing w:after="120"/>
      </w:pPr>
      <w:r>
        <w:rPr>
          <w:sz w:val="20"/>
          <w:szCs w:val="20"/>
        </w:rPr>
        <w:t xml:space="preserve">Every error surfaced once linting was working was triaged individually rather than mechanically autofixed, since a couple of them pointed at genuine small bugs rather than pure style issues.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200"/>
      </w:tblGrid>
      <w:tr>
        <w:trPr>
          <w:tblHeader/>
        </w:trPr>
        <w:tc>
          <w:tcPr>
            <w:tcW w:type="dxa" w:w="3000"/>
            <w:shd w:fill="2B2B2B" w:val="clear"/>
            <w:tcMar>
              <w:top w:type="dxa" w:w="80"/>
              <w:left w:type="dxa" w:w="100"/>
              <w:bottom w:type="dxa" w:w="80"/>
              <w:right w:type="dxa" w:w="100"/>
            </w:tcMar>
          </w:tcPr>
          <w:p>
            <w:r>
              <w:rPr>
                <w:b/>
                <w:bCs/>
                <w:color w:val="FFFFFF"/>
                <w:sz w:val="18"/>
                <w:szCs w:val="18"/>
              </w:rPr>
              <w:t xml:space="preserve">Rule</w:t>
            </w:r>
          </w:p>
        </w:tc>
        <w:tc>
          <w:tcPr>
            <w:tcW w:type="dxa" w:w="800"/>
            <w:shd w:fill="2B2B2B" w:val="clear"/>
            <w:tcMar>
              <w:top w:type="dxa" w:w="80"/>
              <w:left w:type="dxa" w:w="100"/>
              <w:bottom w:type="dxa" w:w="80"/>
              <w:right w:type="dxa" w:w="100"/>
            </w:tcMar>
          </w:tcPr>
          <w:p>
            <w:r>
              <w:rPr>
                <w:b/>
                <w:bCs/>
                <w:color w:val="FFFFFF"/>
                <w:sz w:val="18"/>
                <w:szCs w:val="18"/>
              </w:rPr>
              <w:t xml:space="preserve">Count</w:t>
            </w:r>
          </w:p>
        </w:tc>
        <w:tc>
          <w:tcPr>
            <w:tcW w:type="dxa" w:w="5200"/>
            <w:shd w:fill="2B2B2B" w:val="clear"/>
            <w:tcMar>
              <w:top w:type="dxa" w:w="80"/>
              <w:left w:type="dxa" w:w="100"/>
              <w:bottom w:type="dxa" w:w="80"/>
              <w:right w:type="dxa" w:w="100"/>
            </w:tcMar>
          </w:tcPr>
          <w:p>
            <w:r>
              <w:rPr>
                <w:b/>
                <w:bCs/>
                <w:color w:val="FFFFFF"/>
                <w:sz w:val="18"/>
                <w:szCs w:val="18"/>
              </w:rPr>
              <w:t xml:space="preserve">Resolution</w:t>
            </w:r>
          </w:p>
        </w:tc>
      </w:tr>
      <w:tr>
        <w:tc>
          <w:tcPr>
            <w:tcW w:type="dxa" w:w="3000"/>
            <w:shd w:fill="FFFFFF" w:val="clear"/>
            <w:tcMar>
              <w:top w:type="dxa" w:w="60"/>
              <w:left w:type="dxa" w:w="100"/>
              <w:bottom w:type="dxa" w:w="60"/>
              <w:right w:type="dxa" w:w="100"/>
            </w:tcMar>
          </w:tcPr>
          <w:p>
            <w:r>
              <w:rPr>
                <w:sz w:val="18"/>
                <w:szCs w:val="18"/>
              </w:rPr>
              <w:t xml:space="preserve">prefer-const</w:t>
            </w:r>
          </w:p>
        </w:tc>
        <w:tc>
          <w:tcPr>
            <w:tcW w:type="dxa" w:w="800"/>
            <w:shd w:fill="FFFFFF" w:val="clear"/>
            <w:tcMar>
              <w:top w:type="dxa" w:w="60"/>
              <w:left w:type="dxa" w:w="100"/>
              <w:bottom w:type="dxa" w:w="60"/>
              <w:right w:type="dxa" w:w="100"/>
            </w:tcMar>
          </w:tcPr>
          <w:p>
            <w:r>
              <w:rPr>
                <w:sz w:val="18"/>
                <w:szCs w:val="18"/>
              </w:rPr>
              <w:t xml:space="preserve">12</w:t>
            </w:r>
          </w:p>
        </w:tc>
        <w:tc>
          <w:tcPr>
            <w:tcW w:type="dxa" w:w="5200"/>
            <w:shd w:fill="FFFFFF" w:val="clear"/>
            <w:tcMar>
              <w:top w:type="dxa" w:w="60"/>
              <w:left w:type="dxa" w:w="100"/>
              <w:bottom w:type="dxa" w:w="60"/>
              <w:right w:type="dxa" w:w="100"/>
            </w:tcMar>
          </w:tcPr>
          <w:p>
            <w:r>
              <w:rPr>
                <w:sz w:val="18"/>
                <w:szCs w:val="18"/>
              </w:rPr>
              <w:t xml:space="preserve">Mechanical `let` → `const` — none of these variables were ever reassigned</w:t>
            </w:r>
          </w:p>
        </w:tc>
      </w:tr>
      <w:tr>
        <w:tc>
          <w:tcPr>
            <w:tcW w:type="dxa" w:w="3000"/>
            <w:shd w:fill="F5F5F5" w:val="clear"/>
            <w:tcMar>
              <w:top w:type="dxa" w:w="60"/>
              <w:left w:type="dxa" w:w="100"/>
              <w:bottom w:type="dxa" w:w="60"/>
              <w:right w:type="dxa" w:w="100"/>
            </w:tcMar>
          </w:tcPr>
          <w:p>
            <w:r>
              <w:rPr>
                <w:sz w:val="18"/>
                <w:szCs w:val="18"/>
              </w:rPr>
              <w:t xml:space="preserve">@typescript-eslint/ban-ts-comment</w:t>
            </w:r>
          </w:p>
        </w:tc>
        <w:tc>
          <w:tcPr>
            <w:tcW w:type="dxa" w:w="800"/>
            <w:shd w:fill="F5F5F5" w:val="clear"/>
            <w:tcMar>
              <w:top w:type="dxa" w:w="60"/>
              <w:left w:type="dxa" w:w="100"/>
              <w:bottom w:type="dxa" w:w="60"/>
              <w:right w:type="dxa" w:w="100"/>
            </w:tcMar>
          </w:tcPr>
          <w:p>
            <w:r>
              <w:rPr>
                <w:sz w:val="18"/>
                <w:szCs w:val="18"/>
              </w:rPr>
              <w:t xml:space="preserve">7</w:t>
            </w:r>
          </w:p>
        </w:tc>
        <w:tc>
          <w:tcPr>
            <w:tcW w:type="dxa" w:w="5200"/>
            <w:shd w:fill="F5F5F5" w:val="clear"/>
            <w:tcMar>
              <w:top w:type="dxa" w:w="60"/>
              <w:left w:type="dxa" w:w="100"/>
              <w:bottom w:type="dxa" w:w="60"/>
              <w:right w:type="dxa" w:w="100"/>
            </w:tcMar>
          </w:tcPr>
          <w:p>
            <w:r>
              <w:rPr>
                <w:sz w:val="18"/>
                <w:szCs w:val="18"/>
              </w:rPr>
              <w:t xml:space="preserve">5 were `// @ts-ignore` sitting on lines that already do `(x as any)` — the cast alone fully suppresses the type error, making the `@ts-ignore` a dead no-op (confirmed by test-converting one to `@ts-expect-error`, which itself then errors as "unused directive"). Those 5 were deleted. The remaining 2 suppress a real type error each and were converted to `@ts-expect-error` with a description, per the rule’s intent</w:t>
            </w:r>
          </w:p>
        </w:tc>
      </w:tr>
      <w:tr>
        <w:tc>
          <w:tcPr>
            <w:tcW w:type="dxa" w:w="3000"/>
            <w:shd w:fill="FFFFFF" w:val="clear"/>
            <w:tcMar>
              <w:top w:type="dxa" w:w="60"/>
              <w:left w:type="dxa" w:w="100"/>
              <w:bottom w:type="dxa" w:w="60"/>
              <w:right w:type="dxa" w:w="100"/>
            </w:tcMar>
          </w:tcPr>
          <w:p>
            <w:r>
              <w:rPr>
                <w:sz w:val="18"/>
                <w:szCs w:val="18"/>
              </w:rPr>
              <w:t xml:space="preserve">@typescript-eslint/no-namespace</w:t>
            </w:r>
          </w:p>
        </w:tc>
        <w:tc>
          <w:tcPr>
            <w:tcW w:type="dxa" w:w="800"/>
            <w:shd w:fill="FFFFFF" w:val="clear"/>
            <w:tcMar>
              <w:top w:type="dxa" w:w="60"/>
              <w:left w:type="dxa" w:w="100"/>
              <w:bottom w:type="dxa" w:w="60"/>
              <w:right w:type="dxa" w:w="100"/>
            </w:tcMar>
          </w:tcPr>
          <w:p>
            <w:r>
              <w:rPr>
                <w:sz w:val="18"/>
                <w:szCs w:val="18"/>
              </w:rPr>
              <w:t xml:space="preserve">2</w:t>
            </w:r>
          </w:p>
        </w:tc>
        <w:tc>
          <w:tcPr>
            <w:tcW w:type="dxa" w:w="5200"/>
            <w:shd w:fill="FFFFFF" w:val="clear"/>
            <w:tcMar>
              <w:top w:type="dxa" w:w="60"/>
              <w:left w:type="dxa" w:w="100"/>
              <w:bottom w:type="dxa" w:w="60"/>
              <w:right w:type="dxa" w:w="100"/>
            </w:tcMar>
          </w:tcPr>
          <w:p>
            <w:r>
              <w:rPr>
                <w:sz w:val="18"/>
                <w:szCs w:val="18"/>
              </w:rPr>
              <w:t xml:space="preserve">Both are `declare global { namespace Express { interface Request {...} } }` — the standard, TypeScript-recommended way to augment Express’s ambient Request type, with no ES-module alternative. Added `allowDeclarations: true` to the rule config rather than restructuring correct code to satisfy an overly-broad default</w:t>
            </w:r>
          </w:p>
        </w:tc>
      </w:tr>
      <w:tr>
        <w:tc>
          <w:tcPr>
            <w:tcW w:type="dxa" w:w="3000"/>
            <w:shd w:fill="F5F5F5" w:val="clear"/>
            <w:tcMar>
              <w:top w:type="dxa" w:w="60"/>
              <w:left w:type="dxa" w:w="100"/>
              <w:bottom w:type="dxa" w:w="60"/>
              <w:right w:type="dxa" w:w="100"/>
            </w:tcMar>
          </w:tcPr>
          <w:p>
            <w:r>
              <w:rPr>
                <w:sz w:val="18"/>
                <w:szCs w:val="18"/>
              </w:rPr>
              <w:t xml:space="preserve">@typescript-eslint/no-require-imports</w:t>
            </w:r>
          </w:p>
        </w:tc>
        <w:tc>
          <w:tcPr>
            <w:tcW w:type="dxa" w:w="800"/>
            <w:shd w:fill="F5F5F5" w:val="clear"/>
            <w:tcMar>
              <w:top w:type="dxa" w:w="60"/>
              <w:left w:type="dxa" w:w="100"/>
              <w:bottom w:type="dxa" w:w="60"/>
              <w:right w:type="dxa" w:w="100"/>
            </w:tcMar>
          </w:tcPr>
          <w:p>
            <w:r>
              <w:rPr>
                <w:sz w:val="18"/>
                <w:szCs w:val="18"/>
              </w:rPr>
              <w:t xml:space="preserve">2</w:t>
            </w:r>
          </w:p>
        </w:tc>
        <w:tc>
          <w:tcPr>
            <w:tcW w:type="dxa" w:w="5200"/>
            <w:shd w:fill="F5F5F5" w:val="clear"/>
            <w:tcMar>
              <w:top w:type="dxa" w:w="60"/>
              <w:left w:type="dxa" w:w="100"/>
              <w:bottom w:type="dxa" w:w="60"/>
              <w:right w:type="dxa" w:w="100"/>
            </w:tcMar>
          </w:tcPr>
          <w:p>
            <w:r>
              <w:rPr>
                <w:sz w:val="18"/>
                <w:szCs w:val="18"/>
              </w:rPr>
              <w:t xml:space="preserve">A real bug, not just a style issue — see Section 4.1</w:t>
            </w:r>
          </w:p>
        </w:tc>
      </w:tr>
      <w:tr>
        <w:tc>
          <w:tcPr>
            <w:tcW w:type="dxa" w:w="3000"/>
            <w:shd w:fill="FFFFFF" w:val="clear"/>
            <w:tcMar>
              <w:top w:type="dxa" w:w="60"/>
              <w:left w:type="dxa" w:w="100"/>
              <w:bottom w:type="dxa" w:w="60"/>
              <w:right w:type="dxa" w:w="100"/>
            </w:tcMar>
          </w:tcPr>
          <w:p>
            <w:r>
              <w:rPr>
                <w:sz w:val="18"/>
                <w:szCs w:val="18"/>
              </w:rPr>
              <w:t xml:space="preserve">@typescript-eslint/no-this-alias</w:t>
            </w:r>
          </w:p>
        </w:tc>
        <w:tc>
          <w:tcPr>
            <w:tcW w:type="dxa" w:w="800"/>
            <w:shd w:fill="FFFFFF" w:val="clear"/>
            <w:tcMar>
              <w:top w:type="dxa" w:w="60"/>
              <w:left w:type="dxa" w:w="100"/>
              <w:bottom w:type="dxa" w:w="60"/>
              <w:right w:type="dxa" w:w="100"/>
            </w:tcMar>
          </w:tcPr>
          <w:p>
            <w:r>
              <w:rPr>
                <w:sz w:val="18"/>
                <w:szCs w:val="18"/>
              </w:rPr>
              <w:t xml:space="preserve">2</w:t>
            </w:r>
          </w:p>
        </w:tc>
        <w:tc>
          <w:tcPr>
            <w:tcW w:type="dxa" w:w="5200"/>
            <w:shd w:fill="FFFFFF" w:val="clear"/>
            <w:tcMar>
              <w:top w:type="dxa" w:w="60"/>
              <w:left w:type="dxa" w:w="100"/>
              <w:bottom w:type="dxa" w:w="60"/>
              <w:right w:type="dxa" w:w="100"/>
            </w:tcMar>
          </w:tcPr>
          <w:p>
            <w:r>
              <w:rPr>
                <w:sz w:val="18"/>
                <w:szCs w:val="18"/>
              </w:rPr>
              <w:t xml:space="preserve">Both are the standard `function Mock(doc) { ...; capturedX = this; }` constructor-spy pattern in a test’s mock objects, not a `this`-binding workaround. Scoped eslint-disable added with a one-line reason</w:t>
            </w:r>
          </w:p>
        </w:tc>
      </w:tr>
      <w:tr>
        <w:tc>
          <w:tcPr>
            <w:tcW w:type="dxa" w:w="3000"/>
            <w:shd w:fill="F5F5F5" w:val="clear"/>
            <w:tcMar>
              <w:top w:type="dxa" w:w="60"/>
              <w:left w:type="dxa" w:w="100"/>
              <w:bottom w:type="dxa" w:w="60"/>
              <w:right w:type="dxa" w:w="100"/>
            </w:tcMar>
          </w:tcPr>
          <w:p>
            <w:r>
              <w:rPr>
                <w:sz w:val="18"/>
                <w:szCs w:val="18"/>
              </w:rPr>
              <w:t xml:space="preserve">@typescript-eslint/no-unsafe-function-type</w:t>
            </w:r>
          </w:p>
        </w:tc>
        <w:tc>
          <w:tcPr>
            <w:tcW w:type="dxa" w:w="800"/>
            <w:shd w:fill="F5F5F5" w:val="clear"/>
            <w:tcMar>
              <w:top w:type="dxa" w:w="60"/>
              <w:left w:type="dxa" w:w="100"/>
              <w:bottom w:type="dxa" w:w="60"/>
              <w:right w:type="dxa" w:w="100"/>
            </w:tcMar>
          </w:tcPr>
          <w:p>
            <w:r>
              <w:rPr>
                <w:sz w:val="18"/>
                <w:szCs w:val="18"/>
              </w:rPr>
              <w:t xml:space="preserve">1</w:t>
            </w:r>
          </w:p>
        </w:tc>
        <w:tc>
          <w:tcPr>
            <w:tcW w:type="dxa" w:w="5200"/>
            <w:shd w:fill="F5F5F5" w:val="clear"/>
            <w:tcMar>
              <w:top w:type="dxa" w:w="60"/>
              <w:left w:type="dxa" w:w="100"/>
              <w:bottom w:type="dxa" w:w="60"/>
              <w:right w:type="dxa" w:w="100"/>
            </w:tcMar>
          </w:tcPr>
          <w:p>
            <w:r>
              <w:rPr>
                <w:sz w:val="18"/>
                <w:szCs w:val="18"/>
              </w:rPr>
              <w:t xml:space="preserve">A bare `Function`-typed parameter narrowed to `(job: any) =&gt; any`, matching how it’s actually called</w:t>
            </w:r>
          </w:p>
        </w:tc>
      </w:tr>
      <w:tr>
        <w:tc>
          <w:tcPr>
            <w:tcW w:type="dxa" w:w="3000"/>
            <w:shd w:fill="FFFFFF" w:val="clear"/>
            <w:tcMar>
              <w:top w:type="dxa" w:w="60"/>
              <w:left w:type="dxa" w:w="100"/>
              <w:bottom w:type="dxa" w:w="60"/>
              <w:right w:type="dxa" w:w="100"/>
            </w:tcMar>
          </w:tcPr>
          <w:p>
            <w:r>
              <w:rPr>
                <w:sz w:val="18"/>
                <w:szCs w:val="18"/>
              </w:rPr>
              <w:t xml:space="preserve">@typescript-eslint/no-unused-expressions</w:t>
            </w:r>
          </w:p>
        </w:tc>
        <w:tc>
          <w:tcPr>
            <w:tcW w:type="dxa" w:w="800"/>
            <w:shd w:fill="FFFFFF" w:val="clear"/>
            <w:tcMar>
              <w:top w:type="dxa" w:w="60"/>
              <w:left w:type="dxa" w:w="100"/>
              <w:bottom w:type="dxa" w:w="60"/>
              <w:right w:type="dxa" w:w="100"/>
            </w:tcMar>
          </w:tcPr>
          <w:p>
            <w:r>
              <w:rPr>
                <w:sz w:val="18"/>
                <w:szCs w:val="18"/>
              </w:rPr>
              <w:t xml:space="preserve">1</w:t>
            </w:r>
          </w:p>
        </w:tc>
        <w:tc>
          <w:tcPr>
            <w:tcW w:type="dxa" w:w="5200"/>
            <w:shd w:fill="FFFFFF" w:val="clear"/>
            <w:tcMar>
              <w:top w:type="dxa" w:w="60"/>
              <w:left w:type="dxa" w:w="100"/>
              <w:bottom w:type="dxa" w:w="60"/>
              <w:right w:type="dxa" w:w="100"/>
            </w:tcMar>
          </w:tcPr>
          <w:p>
            <w:r>
              <w:rPr>
                <w:sz w:val="18"/>
                <w:szCs w:val="18"/>
              </w:rPr>
              <w:t xml:space="preserve">A literal stray `0` token at the end of a line in a migration script — almost certainly an accidental keystroke. Removed</w:t>
            </w:r>
          </w:p>
        </w:tc>
      </w:tr>
    </w:tbl>
    <w:p>
      <w:pPr>
        <w:pStyle w:val="Heading2"/>
        <w:spacing w:after="150" w:before="300"/>
      </w:pPr>
      <w:r>
        <w:t xml:space="preserve">4.1 — The real bug: require() in an ESM module, always silently failing</w:t>
      </w:r>
    </w:p>
    <w:p>
      <w:pPr>
        <w:spacing w:after="120"/>
      </w:pPr>
      <w:r>
        <w:rPr>
          <w:sz w:val="20"/>
          <w:szCs w:val="20"/>
        </w:rPr>
        <w:t xml:space="preserve">src/middlewares/observabilityEnforcement.ts exports `validateLoggingConfiguration()`, whose entire job is to confirm the logger and correlation-middleware modules loaded correctly at startup. It did this with `require('../utils/logger.js')` inside a try/catch — but backend/package.json sets `"type": "module"`, and this file already uses `import` statements throughout. Bare `require()` doesn’t exist in ESM; calling it throws `ReferenceError: require is not defined`, which the surrounding try/catch swallowed and reported as "Logger utility not found" / "Correlation middleware not found" — on every single run, regardless of whether those modules were actually fine (and they were: both are imported and used correctly at the top of the very same file).</w:t>
      </w:r>
    </w:p>
    <w:p>
      <w:pPr>
        <w:spacing w:after="120"/>
      </w:pPr>
      <w:r>
        <w:rPr>
          <w:sz w:val="20"/>
          <w:szCs w:val="20"/>
        </w:rPr>
        <w:t xml:space="preserve">Fixed by checking the already-imported bindings directly (`typeof warn !== 'function'`, `typeof correlationMiddleware !== 'function'`) instead of re-requiring the modules — this makes the check meaningful for the first time, and removes the ESM/CommonJS mismatch entirely.</w:t>
      </w:r>
    </w:p>
    <w:p>
      <w:pPr>
        <w:pStyle w:val="Heading1"/>
        <w:spacing w:after="200" w:before="400"/>
      </w:pPr>
      <w:r>
        <w:t xml:space="preserve">5. Dead Code Removed</w:t>
      </w:r>
    </w:p>
    <w:p>
      <w:pPr>
        <w:pStyle w:val="Heading2"/>
        <w:spacing w:after="150" w:before="300"/>
      </w:pPr>
      <w:r>
        <w:t xml:space="preserve">5.1 — console.log</w:t>
      </w:r>
    </w:p>
    <w:p>
      <w:pPr>
        <w:spacing w:after="120"/>
      </w:pPr>
      <w:r>
        <w:rPr>
          <w:sz w:val="20"/>
          <w:szCs w:val="20"/>
        </w:rPr>
        <w:t xml:space="preserve">179 console.log calls remain in src/ across 36 files (down from 187/40). The large majority are intentional and were left alone: server startup sequence, graceful-shutdown steps, Redis/queue/deployment-gate status, and dev-mode-only conveniences like echoing a password-reset link to the console when NODE_ENV isn’t "production" — all checkmark/status-style messages meant for a human watching the terminal during boot or deploy, not debugging leftovers. This mirrors the frontend report’s distinction between operational and debug logging.</w:t>
      </w:r>
    </w:p>
    <w:p>
      <w:pPr>
        <w:spacing w:after="120"/>
      </w:pPr>
      <w:r>
        <w:rPr>
          <w:sz w:val="20"/>
          <w:szCs w:val="20"/>
        </w:rPr>
        <w:t xml:space="preserve">8 were removed as clear debug-dump leftovers — raw payload/response dumps with no operational framing, in ExtractionController.ts (x2, dumping the full raw Gemini AI response), PaymentOutController.ts (x2, dumping a full payment object and account id), MetaController.ts (x1, dumping the full raw webhook payload — the containing forEach loop did nothing else, so it was removed too), and PayrollController.ts / PayrollService.ts (x3, step-by-step "finding component / component found" tracing through a bulk-update operation).</w:t>
      </w:r>
    </w:p>
    <w:p>
      <w:pPr>
        <w:pStyle w:val="Heading2"/>
        <w:spacing w:after="150" w:before="300"/>
      </w:pPr>
      <w:r>
        <w:t xml:space="preserve">5.2 — Commented-out code</w:t>
      </w:r>
    </w:p>
    <w:p>
      <w:pPr>
        <w:pStyle w:val="ListParagraph"/>
        <w:numPr>
          <w:ilvl w:val="0"/>
          <w:numId w:val="1"/>
        </w:numPr>
        <w:spacing w:after="80"/>
      </w:pPr>
      <w:r>
        <w:rPr>
          <w:sz w:val="20"/>
          <w:szCs w:val="20"/>
        </w:rPr>
        <w:t xml:space="preserve">src/app.ts: 15 commented-out `import ... from "./routes/..."` lines plus one commented-out `app.use(...)` registration — the entire src/routes/ directory no longer exists; the app was fully migrated to the modules/*/routes/ pattern used everywhere else in this file. Confirmed dead and removed.</w:t>
      </w:r>
    </w:p>
    <w:p>
      <w:pPr>
        <w:pStyle w:val="ListParagraph"/>
        <w:numPr>
          <w:ilvl w:val="0"/>
          <w:numId w:val="1"/>
        </w:numPr>
        <w:spacing w:after="80"/>
      </w:pPr>
      <w:r>
        <w:rPr>
          <w:sz w:val="20"/>
          <w:szCs w:val="20"/>
        </w:rPr>
        <w:t xml:space="preserve">src/modules/sales/controllers/SalesInvoiceController.ts: a 2-line comment block was accidentally duplicated back-to-back (4 lines where 2 were meant). Deduplicated.</w:t>
      </w:r>
    </w:p>
    <w:p>
      <w:pPr>
        <w:pStyle w:val="ListParagraph"/>
        <w:numPr>
          <w:ilvl w:val="0"/>
          <w:numId w:val="1"/>
        </w:numPr>
        <w:spacing w:after="80"/>
      </w:pPr>
      <w:r>
        <w:rPr>
          <w:b/>
          <w:bCs/>
          <w:sz w:val="20"/>
          <w:szCs w:val="20"/>
        </w:rPr>
        <w:t xml:space="preserve">src/modules/core/controllers/AuthController.ts — flagged separately below; this one is worth your attention rather than a routine cleanup line.</w:t>
      </w:r>
    </w:p>
    <w:p>
      <w:pPr>
        <w:pStyle w:val="Heading2"/>
        <w:spacing w:after="150" w:before="300"/>
      </w:pPr>
      <w:r>
        <w:t xml:space="preserve">5.3 — Worth a second look: a disabled security check</w:t>
      </w:r>
    </w:p>
    <w:p>
      <w:pPr>
        <w:spacing w:after="120"/>
      </w:pPr>
      <w:r>
        <w:rPr>
          <w:b/>
          <w:bCs/>
          <w:sz w:val="20"/>
          <w:szCs w:val="20"/>
        </w:rPr>
        <w:t xml:space="preserve">AuthController.ts’s login handler had a fully-formed, commented-out block that would reject a login attempt with HTTP 409 if the account already has an active session on a different device (user.activeDeviceId set and different from the current device). Per this project’s own standard ("if the code is no longer required, remove it completely, use Git history to recover previous implementations when required"), this has been removed rather than left as a comment — but unlike the routine cleanup above, this was a deliberately disabled security control (single-device-session enforcement), not leftover scaffolding. It’s called out here specifically so the decision to keep it disabled is a visible one: if this project ever means to enforce single-device login, the previous implementation is recoverable from Git history at this file’s prior revision.</w:t>
      </w:r>
    </w:p>
    <w:p>
      <w:pPr>
        <w:pStyle w:val="Heading1"/>
        <w:spacing w:after="200" w:before="400"/>
      </w:pPr>
      <w:r>
        <w:t xml:space="preserve">6. Orphaned-File Candidates — Documented, Not Deleted</w:t>
      </w:r>
    </w:p>
    <w:p>
      <w:pPr>
        <w:spacing w:after="120"/>
      </w:pPr>
      <w:r>
        <w:rPr>
          <w:sz w:val="20"/>
          <w:szCs w:val="20"/>
        </w:rPr>
        <w:t xml:space="preserve">The same two-method approach used for the frontend report (a static import-graph resolution, cross-checked with a plain-text search for the filename anywhere else in src/) found 17 files with zero references by either method — no import resolves to them, and their base filename doesn’t appear as a string anywhere else in the codebase (which would also catch a tsyringe container.resolve(ClassName) call, since that still requires importing ClassName somewhere).</w:t>
      </w:r>
    </w:p>
    <w:p>
      <w:pPr>
        <w:spacing w:after="120"/>
      </w:pPr>
      <w:r>
        <w:rPr>
          <w:sz w:val="20"/>
          <w:szCs w:val="20"/>
        </w:rPr>
        <w:t xml:space="preserve">Unlike the frontend pass, these were deliberately NOT deleted. Three reasons: (1) this is server-side business logic — payment, finance, and CRM services — where a wrong deletion has a larger blast radius than a stale frontend page component; (2) this sandbox has no live MongoDB and could not start the server or exercise a real request against these routes/services to double-check; (3) several of these look like a coherent, deliberately-scaffolded service layer (six files consistently named *Service.ts across finance/crm/expense modules) rather than accidental leftovers — that pattern is at least as consistent with "written ahead of the routes that will use it" as with "abandoned," and this analysis has no way to distinguish the two from the code alone.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2B2B2B" w:val="clear"/>
            <w:tcMar>
              <w:top w:type="dxa" w:w="80"/>
              <w:left w:type="dxa" w:w="100"/>
              <w:bottom w:type="dxa" w:w="80"/>
              <w:right w:type="dxa" w:w="100"/>
            </w:tcMar>
          </w:tcPr>
          <w:p>
            <w:r>
              <w:rPr>
                <w:b/>
                <w:bCs/>
                <w:color w:val="FFFFFF"/>
                <w:sz w:val="18"/>
                <w:szCs w:val="18"/>
              </w:rPr>
              <w:t xml:space="preserve">File</w:t>
            </w:r>
          </w:p>
        </w:tc>
        <w:tc>
          <w:tcPr>
            <w:tcW w:type="dxa" w:w="5400"/>
            <w:shd w:fill="2B2B2B" w:val="clear"/>
            <w:tcMar>
              <w:top w:type="dxa" w:w="80"/>
              <w:left w:type="dxa" w:w="100"/>
              <w:bottom w:type="dxa" w:w="80"/>
              <w:right w:type="dxa" w:w="100"/>
            </w:tcMar>
          </w:tcPr>
          <w:p>
            <w:r>
              <w:rPr>
                <w:b/>
                <w:bCs/>
                <w:color w:val="FFFFFF"/>
                <w:sz w:val="18"/>
                <w:szCs w:val="18"/>
              </w:rPr>
              <w:t xml:space="preserve">Note</w:t>
            </w:r>
          </w:p>
        </w:tc>
      </w:tr>
      <w:tr>
        <w:tc>
          <w:tcPr>
            <w:tcW w:type="dxa" w:w="3600"/>
            <w:shd w:fill="FFFFFF" w:val="clear"/>
            <w:tcMar>
              <w:top w:type="dxa" w:w="60"/>
              <w:left w:type="dxa" w:w="100"/>
              <w:bottom w:type="dxa" w:w="60"/>
              <w:right w:type="dxa" w:w="100"/>
            </w:tcMar>
          </w:tcPr>
          <w:p>
            <w:r>
              <w:rPr>
                <w:sz w:val="18"/>
                <w:szCs w:val="18"/>
              </w:rPr>
              <w:t xml:space="preserve">config/deploymentGates.ts</w:t>
            </w:r>
          </w:p>
        </w:tc>
        <w:tc>
          <w:tcPr>
            <w:tcW w:type="dxa" w:w="5400"/>
            <w:shd w:fill="FFFFFF" w:val="clear"/>
            <w:tcMar>
              <w:top w:type="dxa" w:w="60"/>
              <w:left w:type="dxa" w:w="100"/>
              <w:bottom w:type="dxa" w:w="60"/>
              <w:right w:type="dxa" w:w="100"/>
            </w:tcMar>
          </w:tcPr>
          <w:p>
            <w:r>
              <w:rPr>
                <w:sz w:val="18"/>
                <w:szCs w:val="18"/>
              </w:rPr>
              <w:t xml:space="preserve">Exports pre/post-deploy check functions — likely invoked from a deploy script or CI step outside src/, not from other application code</w:t>
            </w:r>
          </w:p>
        </w:tc>
      </w:tr>
      <w:tr>
        <w:tc>
          <w:tcPr>
            <w:tcW w:type="dxa" w:w="3600"/>
            <w:shd w:fill="F5F5F5" w:val="clear"/>
            <w:tcMar>
              <w:top w:type="dxa" w:w="60"/>
              <w:left w:type="dxa" w:w="100"/>
              <w:bottom w:type="dxa" w:w="60"/>
              <w:right w:type="dxa" w:w="100"/>
            </w:tcMar>
          </w:tcPr>
          <w:p>
            <w:r>
              <w:rPr>
                <w:sz w:val="18"/>
                <w:szCs w:val="18"/>
              </w:rPr>
              <w:t xml:space="preserve">middlewares/transactionEnforcement.ts</w:t>
            </w:r>
          </w:p>
        </w:tc>
        <w:tc>
          <w:tcPr>
            <w:tcW w:type="dxa" w:w="5400"/>
            <w:shd w:fill="F5F5F5" w:val="clear"/>
            <w:tcMar>
              <w:top w:type="dxa" w:w="60"/>
              <w:left w:type="dxa" w:w="100"/>
              <w:bottom w:type="dxa" w:w="60"/>
              <w:right w:type="dxa" w:w="100"/>
            </w:tcMar>
          </w:tcPr>
          <w:p>
            <w:r>
              <w:rPr>
                <w:sz w:val="18"/>
                <w:szCs w:val="18"/>
              </w:rPr>
              <w:t xml:space="preserve"/>
            </w:r>
          </w:p>
        </w:tc>
      </w:tr>
      <w:tr>
        <w:tc>
          <w:tcPr>
            <w:tcW w:type="dxa" w:w="3600"/>
            <w:shd w:fill="FFFFFF" w:val="clear"/>
            <w:tcMar>
              <w:top w:type="dxa" w:w="60"/>
              <w:left w:type="dxa" w:w="100"/>
              <w:bottom w:type="dxa" w:w="60"/>
              <w:right w:type="dxa" w:w="100"/>
            </w:tcMar>
          </w:tcPr>
          <w:p>
            <w:r>
              <w:rPr>
                <w:sz w:val="18"/>
                <w:szCs w:val="18"/>
              </w:rPr>
              <w:t xml:space="preserve">modules/core/controllers/ConfigController.ts</w:t>
            </w:r>
          </w:p>
        </w:tc>
        <w:tc>
          <w:tcPr>
            <w:tcW w:type="dxa" w:w="5400"/>
            <w:shd w:fill="FFFFFF" w:val="clear"/>
            <w:tcMar>
              <w:top w:type="dxa" w:w="60"/>
              <w:left w:type="dxa" w:w="100"/>
              <w:bottom w:type="dxa" w:w="60"/>
              <w:right w:type="dxa" w:w="100"/>
            </w:tcMar>
          </w:tcPr>
          <w:p>
            <w:r>
              <w:rPr>
                <w:sz w:val="18"/>
                <w:szCs w:val="18"/>
              </w:rPr>
              <w:t xml:space="preserve"/>
            </w:r>
          </w:p>
        </w:tc>
      </w:tr>
      <w:tr>
        <w:tc>
          <w:tcPr>
            <w:tcW w:type="dxa" w:w="3600"/>
            <w:shd w:fill="F5F5F5" w:val="clear"/>
            <w:tcMar>
              <w:top w:type="dxa" w:w="60"/>
              <w:left w:type="dxa" w:w="100"/>
              <w:bottom w:type="dxa" w:w="60"/>
              <w:right w:type="dxa" w:w="100"/>
            </w:tcMar>
          </w:tcPr>
          <w:p>
            <w:r>
              <w:rPr>
                <w:sz w:val="18"/>
                <w:szCs w:val="18"/>
              </w:rPr>
              <w:t xml:space="preserve">modules/core/models/NotificationTemplate.ts</w:t>
            </w:r>
          </w:p>
        </w:tc>
        <w:tc>
          <w:tcPr>
            <w:tcW w:type="dxa" w:w="5400"/>
            <w:shd w:fill="F5F5F5" w:val="clear"/>
            <w:tcMar>
              <w:top w:type="dxa" w:w="60"/>
              <w:left w:type="dxa" w:w="100"/>
              <w:bottom w:type="dxa" w:w="60"/>
              <w:right w:type="dxa" w:w="100"/>
            </w:tcMar>
          </w:tcPr>
          <w:p>
            <w:r>
              <w:rPr>
                <w:sz w:val="18"/>
                <w:szCs w:val="18"/>
              </w:rPr>
              <w:t xml:space="preserve">Mongoose model — check whether notifications are seeded/queried by raw collection name elsewhere</w:t>
            </w:r>
          </w:p>
        </w:tc>
      </w:tr>
      <w:tr>
        <w:tc>
          <w:tcPr>
            <w:tcW w:type="dxa" w:w="3600"/>
            <w:shd w:fill="FFFFFF" w:val="clear"/>
            <w:tcMar>
              <w:top w:type="dxa" w:w="60"/>
              <w:left w:type="dxa" w:w="100"/>
              <w:bottom w:type="dxa" w:w="60"/>
              <w:right w:type="dxa" w:w="100"/>
            </w:tcMar>
          </w:tcPr>
          <w:p>
            <w:r>
              <w:rPr>
                <w:sz w:val="18"/>
                <w:szCs w:val="18"/>
              </w:rPr>
              <w:t xml:space="preserve">modules/core/services/AuthService.ts</w:t>
            </w:r>
          </w:p>
        </w:tc>
        <w:tc>
          <w:tcPr>
            <w:tcW w:type="dxa" w:w="5400"/>
            <w:shd w:fill="FFFFFF" w:val="clear"/>
            <w:tcMar>
              <w:top w:type="dxa" w:w="60"/>
              <w:left w:type="dxa" w:w="100"/>
              <w:bottom w:type="dxa" w:w="60"/>
              <w:right w:type="dxa" w:w="100"/>
            </w:tcMar>
          </w:tcPr>
          <w:p>
            <w:r>
              <w:rPr>
                <w:sz w:val="18"/>
                <w:szCs w:val="18"/>
              </w:rPr>
              <w:t xml:space="preserve">AuthController.ts contains its logic directly; this may be an earlier or intended service-layer extraction</w:t>
            </w:r>
          </w:p>
        </w:tc>
      </w:tr>
      <w:tr>
        <w:tc>
          <w:tcPr>
            <w:tcW w:type="dxa" w:w="3600"/>
            <w:shd w:fill="F5F5F5" w:val="clear"/>
            <w:tcMar>
              <w:top w:type="dxa" w:w="60"/>
              <w:left w:type="dxa" w:w="100"/>
              <w:bottom w:type="dxa" w:w="60"/>
              <w:right w:type="dxa" w:w="100"/>
            </w:tcMar>
          </w:tcPr>
          <w:p>
            <w:r>
              <w:rPr>
                <w:sz w:val="18"/>
                <w:szCs w:val="18"/>
              </w:rPr>
              <w:t xml:space="preserve">modules/crm/services/CustomerService.ts</w:t>
            </w:r>
          </w:p>
        </w:tc>
        <w:tc>
          <w:tcPr>
            <w:tcW w:type="dxa" w:w="5400"/>
            <w:shd w:fill="F5F5F5" w:val="clear"/>
            <w:tcMar>
              <w:top w:type="dxa" w:w="60"/>
              <w:left w:type="dxa" w:w="100"/>
              <w:bottom w:type="dxa" w:w="60"/>
              <w:right w:type="dxa" w:w="100"/>
            </w:tcMar>
          </w:tcPr>
          <w:p>
            <w:r>
              <w:rPr>
                <w:sz w:val="18"/>
                <w:szCs w:val="18"/>
              </w:rPr>
              <w:t xml:space="preserve">Part of the *Service.ts cluster — see note above</w:t>
            </w:r>
          </w:p>
        </w:tc>
      </w:tr>
      <w:tr>
        <w:tc>
          <w:tcPr>
            <w:tcW w:type="dxa" w:w="3600"/>
            <w:shd w:fill="FFFFFF" w:val="clear"/>
            <w:tcMar>
              <w:top w:type="dxa" w:w="60"/>
              <w:left w:type="dxa" w:w="100"/>
              <w:bottom w:type="dxa" w:w="60"/>
              <w:right w:type="dxa" w:w="100"/>
            </w:tcMar>
          </w:tcPr>
          <w:p>
            <w:r>
              <w:rPr>
                <w:sz w:val="18"/>
                <w:szCs w:val="18"/>
              </w:rPr>
              <w:t xml:space="preserve">modules/crm/services/SupplierService.ts</w:t>
            </w:r>
          </w:p>
        </w:tc>
        <w:tc>
          <w:tcPr>
            <w:tcW w:type="dxa" w:w="5400"/>
            <w:shd w:fill="FFFFFF" w:val="clear"/>
            <w:tcMar>
              <w:top w:type="dxa" w:w="60"/>
              <w:left w:type="dxa" w:w="100"/>
              <w:bottom w:type="dxa" w:w="60"/>
              <w:right w:type="dxa" w:w="100"/>
            </w:tcMar>
          </w:tcPr>
          <w:p>
            <w:r>
              <w:rPr>
                <w:sz w:val="18"/>
                <w:szCs w:val="18"/>
              </w:rPr>
              <w:t xml:space="preserve">Part of the *Service.ts cluster</w:t>
            </w:r>
          </w:p>
        </w:tc>
      </w:tr>
      <w:tr>
        <w:tc>
          <w:tcPr>
            <w:tcW w:type="dxa" w:w="3600"/>
            <w:shd w:fill="F5F5F5" w:val="clear"/>
            <w:tcMar>
              <w:top w:type="dxa" w:w="60"/>
              <w:left w:type="dxa" w:w="100"/>
              <w:bottom w:type="dxa" w:w="60"/>
              <w:right w:type="dxa" w:w="100"/>
            </w:tcMar>
          </w:tcPr>
          <w:p>
            <w:r>
              <w:rPr>
                <w:sz w:val="18"/>
                <w:szCs w:val="18"/>
              </w:rPr>
              <w:t xml:space="preserve">modules/expense/services/ExpenseService.ts</w:t>
            </w:r>
          </w:p>
        </w:tc>
        <w:tc>
          <w:tcPr>
            <w:tcW w:type="dxa" w:w="5400"/>
            <w:shd w:fill="F5F5F5" w:val="clear"/>
            <w:tcMar>
              <w:top w:type="dxa" w:w="60"/>
              <w:left w:type="dxa" w:w="100"/>
              <w:bottom w:type="dxa" w:w="60"/>
              <w:right w:type="dxa" w:w="100"/>
            </w:tcMar>
          </w:tcPr>
          <w:p>
            <w:r>
              <w:rPr>
                <w:sz w:val="18"/>
                <w:szCs w:val="18"/>
              </w:rPr>
              <w:t xml:space="preserve">Part of the *Service.ts cluster</w:t>
            </w:r>
          </w:p>
        </w:tc>
      </w:tr>
      <w:tr>
        <w:tc>
          <w:tcPr>
            <w:tcW w:type="dxa" w:w="3600"/>
            <w:shd w:fill="FFFFFF" w:val="clear"/>
            <w:tcMar>
              <w:top w:type="dxa" w:w="60"/>
              <w:left w:type="dxa" w:w="100"/>
              <w:bottom w:type="dxa" w:w="60"/>
              <w:right w:type="dxa" w:w="100"/>
            </w:tcMar>
          </w:tcPr>
          <w:p>
            <w:r>
              <w:rPr>
                <w:sz w:val="18"/>
                <w:szCs w:val="18"/>
              </w:rPr>
              <w:t xml:space="preserve">modules/finance/services/CashBankService.ts</w:t>
            </w:r>
          </w:p>
        </w:tc>
        <w:tc>
          <w:tcPr>
            <w:tcW w:type="dxa" w:w="5400"/>
            <w:shd w:fill="FFFFFF" w:val="clear"/>
            <w:tcMar>
              <w:top w:type="dxa" w:w="60"/>
              <w:left w:type="dxa" w:w="100"/>
              <w:bottom w:type="dxa" w:w="60"/>
              <w:right w:type="dxa" w:w="100"/>
            </w:tcMar>
          </w:tcPr>
          <w:p>
            <w:r>
              <w:rPr>
                <w:sz w:val="18"/>
                <w:szCs w:val="18"/>
              </w:rPr>
              <w:t xml:space="preserve">Part of the *Service.ts cluster</w:t>
            </w:r>
          </w:p>
        </w:tc>
      </w:tr>
      <w:tr>
        <w:tc>
          <w:tcPr>
            <w:tcW w:type="dxa" w:w="3600"/>
            <w:shd w:fill="F5F5F5" w:val="clear"/>
            <w:tcMar>
              <w:top w:type="dxa" w:w="60"/>
              <w:left w:type="dxa" w:w="100"/>
              <w:bottom w:type="dxa" w:w="60"/>
              <w:right w:type="dxa" w:w="100"/>
            </w:tcMar>
          </w:tcPr>
          <w:p>
            <w:r>
              <w:rPr>
                <w:sz w:val="18"/>
                <w:szCs w:val="18"/>
              </w:rPr>
              <w:t xml:space="preserve">modules/finance/services/GSTService.ts</w:t>
            </w:r>
          </w:p>
        </w:tc>
        <w:tc>
          <w:tcPr>
            <w:tcW w:type="dxa" w:w="5400"/>
            <w:shd w:fill="F5F5F5" w:val="clear"/>
            <w:tcMar>
              <w:top w:type="dxa" w:w="60"/>
              <w:left w:type="dxa" w:w="100"/>
              <w:bottom w:type="dxa" w:w="60"/>
              <w:right w:type="dxa" w:w="100"/>
            </w:tcMar>
          </w:tcPr>
          <w:p>
            <w:r>
              <w:rPr>
                <w:sz w:val="18"/>
                <w:szCs w:val="18"/>
              </w:rPr>
              <w:t xml:space="preserve">Part of the *Service.ts cluster</w:t>
            </w:r>
          </w:p>
        </w:tc>
      </w:tr>
      <w:tr>
        <w:tc>
          <w:tcPr>
            <w:tcW w:type="dxa" w:w="3600"/>
            <w:shd w:fill="FFFFFF" w:val="clear"/>
            <w:tcMar>
              <w:top w:type="dxa" w:w="60"/>
              <w:left w:type="dxa" w:w="100"/>
              <w:bottom w:type="dxa" w:w="60"/>
              <w:right w:type="dxa" w:w="100"/>
            </w:tcMar>
          </w:tcPr>
          <w:p>
            <w:r>
              <w:rPr>
                <w:sz w:val="18"/>
                <w:szCs w:val="18"/>
              </w:rPr>
              <w:t xml:space="preserve">modules/finance/services/PaymentReminderService.ts</w:t>
            </w:r>
          </w:p>
        </w:tc>
        <w:tc>
          <w:tcPr>
            <w:tcW w:type="dxa" w:w="5400"/>
            <w:shd w:fill="FFFFFF" w:val="clear"/>
            <w:tcMar>
              <w:top w:type="dxa" w:w="60"/>
              <w:left w:type="dxa" w:w="100"/>
              <w:bottom w:type="dxa" w:w="60"/>
              <w:right w:type="dxa" w:w="100"/>
            </w:tcMar>
          </w:tcPr>
          <w:p>
            <w:r>
              <w:rPr>
                <w:sz w:val="18"/>
                <w:szCs w:val="18"/>
              </w:rPr>
              <w:t xml:space="preserve">Part of the *Service.ts cluster</w:t>
            </w:r>
          </w:p>
        </w:tc>
      </w:tr>
      <w:tr>
        <w:tc>
          <w:tcPr>
            <w:tcW w:type="dxa" w:w="3600"/>
            <w:shd w:fill="F5F5F5" w:val="clear"/>
            <w:tcMar>
              <w:top w:type="dxa" w:w="60"/>
              <w:left w:type="dxa" w:w="100"/>
              <w:bottom w:type="dxa" w:w="60"/>
              <w:right w:type="dxa" w:w="100"/>
            </w:tcMar>
          </w:tcPr>
          <w:p>
            <w:r>
              <w:rPr>
                <w:sz w:val="18"/>
                <w:szCs w:val="18"/>
              </w:rPr>
              <w:t xml:space="preserve">modules/purchase/models/PurchasePayment.ts</w:t>
            </w:r>
          </w:p>
        </w:tc>
        <w:tc>
          <w:tcPr>
            <w:tcW w:type="dxa" w:w="5400"/>
            <w:shd w:fill="F5F5F5" w:val="clear"/>
            <w:tcMar>
              <w:top w:type="dxa" w:w="60"/>
              <w:left w:type="dxa" w:w="100"/>
              <w:bottom w:type="dxa" w:w="60"/>
              <w:right w:type="dxa" w:w="100"/>
            </w:tcMar>
          </w:tcPr>
          <w:p>
            <w:r>
              <w:rPr>
                <w:sz w:val="18"/>
                <w:szCs w:val="18"/>
              </w:rPr>
              <w:t xml:space="preserve">Mongoose model — check for raw collection-name usage</w:t>
            </w:r>
          </w:p>
        </w:tc>
      </w:tr>
      <w:tr>
        <w:tc>
          <w:tcPr>
            <w:tcW w:type="dxa" w:w="3600"/>
            <w:shd w:fill="FFFFFF" w:val="clear"/>
            <w:tcMar>
              <w:top w:type="dxa" w:w="60"/>
              <w:left w:type="dxa" w:w="100"/>
              <w:bottom w:type="dxa" w:w="60"/>
              <w:right w:type="dxa" w:w="100"/>
            </w:tcMar>
          </w:tcPr>
          <w:p>
            <w:r>
              <w:rPr>
                <w:sz w:val="18"/>
                <w:szCs w:val="18"/>
              </w:rPr>
              <w:t xml:space="preserve">modules/reports/services/CrossStoreReportService.ts</w:t>
            </w:r>
          </w:p>
        </w:tc>
        <w:tc>
          <w:tcPr>
            <w:tcW w:type="dxa" w:w="5400"/>
            <w:shd w:fill="FFFFFF" w:val="clear"/>
            <w:tcMar>
              <w:top w:type="dxa" w:w="60"/>
              <w:left w:type="dxa" w:w="100"/>
              <w:bottom w:type="dxa" w:w="60"/>
              <w:right w:type="dxa" w:w="100"/>
            </w:tcMar>
          </w:tcPr>
          <w:p>
            <w:r>
              <w:rPr>
                <w:sz w:val="18"/>
                <w:szCs w:val="18"/>
              </w:rPr>
              <w:t xml:space="preserve"/>
            </w:r>
          </w:p>
        </w:tc>
      </w:tr>
      <w:tr>
        <w:tc>
          <w:tcPr>
            <w:tcW w:type="dxa" w:w="3600"/>
            <w:shd w:fill="F5F5F5" w:val="clear"/>
            <w:tcMar>
              <w:top w:type="dxa" w:w="60"/>
              <w:left w:type="dxa" w:w="100"/>
              <w:bottom w:type="dxa" w:w="60"/>
              <w:right w:type="dxa" w:w="100"/>
            </w:tcMar>
          </w:tcPr>
          <w:p>
            <w:r>
              <w:rPr>
                <w:sz w:val="18"/>
                <w:szCs w:val="18"/>
              </w:rPr>
              <w:t xml:space="preserve">modules/sales/controllers/SalesInvoiceController.ts</w:t>
            </w:r>
          </w:p>
        </w:tc>
        <w:tc>
          <w:tcPr>
            <w:tcW w:type="dxa" w:w="5400"/>
            <w:shd w:fill="F5F5F5" w:val="clear"/>
            <w:tcMar>
              <w:top w:type="dxa" w:w="60"/>
              <w:left w:type="dxa" w:w="100"/>
              <w:bottom w:type="dxa" w:w="60"/>
              <w:right w:type="dxa" w:w="100"/>
            </w:tcMar>
          </w:tcPr>
          <w:p>
            <w:r>
              <w:rPr>
                <w:sz w:val="18"/>
                <w:szCs w:val="18"/>
              </w:rPr>
              <w:t xml:space="preserve">A modules/sales/controllers/SalesController.ts also exists and is referenced elsewhere — possible superseded duplicate, worth a direct comparison</w:t>
            </w:r>
          </w:p>
        </w:tc>
      </w:tr>
      <w:tr>
        <w:tc>
          <w:tcPr>
            <w:tcW w:type="dxa" w:w="3600"/>
            <w:shd w:fill="FFFFFF" w:val="clear"/>
            <w:tcMar>
              <w:top w:type="dxa" w:w="60"/>
              <w:left w:type="dxa" w:w="100"/>
              <w:bottom w:type="dxa" w:w="60"/>
              <w:right w:type="dxa" w:w="100"/>
            </w:tcMar>
          </w:tcPr>
          <w:p>
            <w:r>
              <w:rPr>
                <w:sz w:val="18"/>
                <w:szCs w:val="18"/>
              </w:rPr>
              <w:t xml:space="preserve">repositories/TransactionRepository.ts</w:t>
            </w:r>
          </w:p>
        </w:tc>
        <w:tc>
          <w:tcPr>
            <w:tcW w:type="dxa" w:w="5400"/>
            <w:shd w:fill="FFFFFF" w:val="clear"/>
            <w:tcMar>
              <w:top w:type="dxa" w:w="60"/>
              <w:left w:type="dxa" w:w="100"/>
              <w:bottom w:type="dxa" w:w="60"/>
              <w:right w:type="dxa" w:w="100"/>
            </w:tcMar>
          </w:tcPr>
          <w:p>
            <w:r>
              <w:rPr>
                <w:sz w:val="18"/>
                <w:szCs w:val="18"/>
              </w:rPr>
              <w:t xml:space="preserve"/>
            </w:r>
          </w:p>
        </w:tc>
      </w:tr>
      <w:tr>
        <w:tc>
          <w:tcPr>
            <w:tcW w:type="dxa" w:w="3600"/>
            <w:shd w:fill="F5F5F5" w:val="clear"/>
            <w:tcMar>
              <w:top w:type="dxa" w:w="60"/>
              <w:left w:type="dxa" w:w="100"/>
              <w:bottom w:type="dxa" w:w="60"/>
              <w:right w:type="dxa" w:w="100"/>
            </w:tcMar>
          </w:tcPr>
          <w:p>
            <w:r>
              <w:rPr>
                <w:sz w:val="18"/>
                <w:szCs w:val="18"/>
              </w:rPr>
              <w:t xml:space="preserve">utils/paginationUtils.ts</w:t>
            </w:r>
          </w:p>
        </w:tc>
        <w:tc>
          <w:tcPr>
            <w:tcW w:type="dxa" w:w="5400"/>
            <w:shd w:fill="F5F5F5" w:val="clear"/>
            <w:tcMar>
              <w:top w:type="dxa" w:w="60"/>
              <w:left w:type="dxa" w:w="100"/>
              <w:bottom w:type="dxa" w:w="60"/>
              <w:right w:type="dxa" w:w="100"/>
            </w:tcMar>
          </w:tcPr>
          <w:p>
            <w:r>
              <w:rPr>
                <w:sz w:val="18"/>
                <w:szCs w:val="18"/>
              </w:rPr>
              <w:t xml:space="preserve"/>
            </w:r>
          </w:p>
        </w:tc>
      </w:tr>
      <w:tr>
        <w:tc>
          <w:tcPr>
            <w:tcW w:type="dxa" w:w="3600"/>
            <w:shd w:fill="FFFFFF" w:val="clear"/>
            <w:tcMar>
              <w:top w:type="dxa" w:w="60"/>
              <w:left w:type="dxa" w:w="100"/>
              <w:bottom w:type="dxa" w:w="60"/>
              <w:right w:type="dxa" w:w="100"/>
            </w:tcMar>
          </w:tcPr>
          <w:p>
            <w:r>
              <w:rPr>
                <w:sz w:val="18"/>
                <w:szCs w:val="18"/>
              </w:rPr>
              <w:t xml:space="preserve">v2/models/TenantEcommerce.ts</w:t>
            </w:r>
          </w:p>
        </w:tc>
        <w:tc>
          <w:tcPr>
            <w:tcW w:type="dxa" w:w="5400"/>
            <w:shd w:fill="FFFFFF" w:val="clear"/>
            <w:tcMar>
              <w:top w:type="dxa" w:w="60"/>
              <w:left w:type="dxa" w:w="100"/>
              <w:bottom w:type="dxa" w:w="60"/>
              <w:right w:type="dxa" w:w="100"/>
            </w:tcMar>
          </w:tcPr>
          <w:p>
            <w:r>
              <w:rPr>
                <w:sz w:val="18"/>
                <w:szCs w:val="18"/>
              </w:rPr>
              <w:t xml:space="preserve">src/v2/ appears to be a newer/parallel model set — worth checking whether it’s mid-migration</w:t>
            </w:r>
          </w:p>
        </w:tc>
      </w:tr>
    </w:tbl>
    <w:p>
      <w:pPr>
        <w:spacing w:after="120"/>
      </w:pPr>
      <w:r>
        <w:rPr>
          <w:sz w:val="20"/>
          <w:szCs w:val="20"/>
        </w:rPr>
        <w:t xml:space="preserve">Recommendation: review this list with whoever knows the roadmap for each module. For each file, either wire it in where it’s meant to be used, or delete it in a follow-up change that can be validated against a real running server and database — something this sandbox can’t offer.</w:t>
      </w:r>
    </w:p>
    <w:p>
      <w:pPr>
        <w:pStyle w:val="Heading1"/>
        <w:spacing w:after="200" w:before="400"/>
      </w:pPr>
      <w:r>
        <w:t xml:space="preserve">7. Recommendations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4100"/>
      </w:tblGrid>
      <w:tr>
        <w:trPr>
          <w:tblHeader/>
        </w:trPr>
        <w:tc>
          <w:tcPr>
            <w:tcW w:type="dxa" w:w="500"/>
            <w:shd w:fill="2B2B2B" w:val="clear"/>
            <w:tcMar>
              <w:top w:type="dxa" w:w="80"/>
              <w:left w:type="dxa" w:w="100"/>
              <w:bottom w:type="dxa" w:w="80"/>
              <w:right w:type="dxa" w:w="100"/>
            </w:tcMar>
          </w:tcPr>
          <w:p>
            <w:r>
              <w:rPr>
                <w:b/>
                <w:bCs/>
                <w:color w:val="FFFFFF"/>
                <w:sz w:val="18"/>
                <w:szCs w:val="18"/>
              </w:rPr>
              <w:t xml:space="preserve">#</w:t>
            </w:r>
          </w:p>
        </w:tc>
        <w:tc>
          <w:tcPr>
            <w:tcW w:type="dxa" w:w="4400"/>
            <w:shd w:fill="2B2B2B" w:val="clear"/>
            <w:tcMar>
              <w:top w:type="dxa" w:w="80"/>
              <w:left w:type="dxa" w:w="100"/>
              <w:bottom w:type="dxa" w:w="80"/>
              <w:right w:type="dxa" w:w="100"/>
            </w:tcMar>
          </w:tcPr>
          <w:p>
            <w:r>
              <w:rPr>
                <w:b/>
                <w:bCs/>
                <w:color w:val="FFFFFF"/>
                <w:sz w:val="18"/>
                <w:szCs w:val="18"/>
              </w:rPr>
              <w:t xml:space="preserve">Action</w:t>
            </w:r>
          </w:p>
        </w:tc>
        <w:tc>
          <w:tcPr>
            <w:tcW w:type="dxa" w:w="4100"/>
            <w:shd w:fill="2B2B2B" w:val="clear"/>
            <w:tcMar>
              <w:top w:type="dxa" w:w="80"/>
              <w:left w:type="dxa" w:w="100"/>
              <w:bottom w:type="dxa" w:w="80"/>
              <w:right w:type="dxa" w:w="100"/>
            </w:tcMar>
          </w:tcPr>
          <w:p>
            <w:r>
              <w:rPr>
                <w:b/>
                <w:bCs/>
                <w:color w:val="FFFFFF"/>
                <w:sz w:val="18"/>
                <w:szCs w:val="18"/>
              </w:rPr>
              <w:t xml:space="preserve">Why</w:t>
            </w:r>
          </w:p>
        </w:tc>
      </w:tr>
      <w:tr>
        <w:tc>
          <w:tcPr>
            <w:tcW w:type="dxa" w:w="500"/>
            <w:shd w:fill="FFFFFF" w:val="clear"/>
            <w:tcMar>
              <w:top w:type="dxa" w:w="60"/>
              <w:left w:type="dxa" w:w="100"/>
              <w:bottom w:type="dxa" w:w="60"/>
              <w:right w:type="dxa" w:w="100"/>
            </w:tcMar>
          </w:tcPr>
          <w:p>
            <w:r>
              <w:rPr>
                <w:sz w:val="18"/>
                <w:szCs w:val="18"/>
              </w:rPr>
              <w:t xml:space="preserve">1</w:t>
            </w:r>
          </w:p>
        </w:tc>
        <w:tc>
          <w:tcPr>
            <w:tcW w:type="dxa" w:w="4400"/>
            <w:shd w:fill="FFFFFF" w:val="clear"/>
            <w:tcMar>
              <w:top w:type="dxa" w:w="60"/>
              <w:left w:type="dxa" w:w="100"/>
              <w:bottom w:type="dxa" w:w="60"/>
              <w:right w:type="dxa" w:w="100"/>
            </w:tcMar>
          </w:tcPr>
          <w:p>
            <w:r>
              <w:rPr>
                <w:sz w:val="18"/>
                <w:szCs w:val="18"/>
              </w:rPr>
              <w:t xml:space="preserve">Add backend/eslint.config.js’s dependencies (@typescript-eslint/eslint-plugin, @typescript-eslint/parser or the typescript-eslint meta-package) to backend/package.json directly</w:t>
            </w:r>
          </w:p>
        </w:tc>
        <w:tc>
          <w:tcPr>
            <w:tcW w:type="dxa" w:w="4100"/>
            <w:shd w:fill="FFFFFF" w:val="clear"/>
            <w:tcMar>
              <w:top w:type="dxa" w:w="60"/>
              <w:left w:type="dxa" w:w="100"/>
              <w:bottom w:type="dxa" w:w="60"/>
              <w:right w:type="dxa" w:w="100"/>
            </w:tcMar>
          </w:tcPr>
          <w:p>
            <w:r>
              <w:rPr>
                <w:sz w:val="18"/>
                <w:szCs w:val="18"/>
              </w:rPr>
              <w:t xml:space="preserve">So `npm run lint` works standalone per its own package.json, without relying on the monorepo root’s hoisted packages (this session’s workaround)</w:t>
            </w:r>
          </w:p>
        </w:tc>
      </w:tr>
      <w:tr>
        <w:tc>
          <w:tcPr>
            <w:tcW w:type="dxa" w:w="500"/>
            <w:shd w:fill="F5F5F5" w:val="clear"/>
            <w:tcMar>
              <w:top w:type="dxa" w:w="60"/>
              <w:left w:type="dxa" w:w="100"/>
              <w:bottom w:type="dxa" w:w="60"/>
              <w:right w:type="dxa" w:w="100"/>
            </w:tcMar>
          </w:tcPr>
          <w:p>
            <w:r>
              <w:rPr>
                <w:sz w:val="18"/>
                <w:szCs w:val="18"/>
              </w:rPr>
              <w:t xml:space="preserve">2</w:t>
            </w:r>
          </w:p>
        </w:tc>
        <w:tc>
          <w:tcPr>
            <w:tcW w:type="dxa" w:w="4400"/>
            <w:shd w:fill="F5F5F5" w:val="clear"/>
            <w:tcMar>
              <w:top w:type="dxa" w:w="60"/>
              <w:left w:type="dxa" w:w="100"/>
              <w:bottom w:type="dxa" w:w="60"/>
              <w:right w:type="dxa" w:w="100"/>
            </w:tcMar>
          </w:tcPr>
          <w:p>
            <w:r>
              <w:rPr>
                <w:sz w:val="18"/>
                <w:szCs w:val="18"/>
              </w:rPr>
              <w:t xml:space="preserve">Run `npm test` locally and confirm the full suite still passes</w:t>
            </w:r>
          </w:p>
        </w:tc>
        <w:tc>
          <w:tcPr>
            <w:tcW w:type="dxa" w:w="4100"/>
            <w:shd w:fill="F5F5F5" w:val="clear"/>
            <w:tcMar>
              <w:top w:type="dxa" w:w="60"/>
              <w:left w:type="dxa" w:w="100"/>
              <w:bottom w:type="dxa" w:w="60"/>
              <w:right w:type="dxa" w:w="100"/>
            </w:tcMar>
          </w:tcPr>
          <w:p>
            <w:r>
              <w:rPr>
                <w:sz w:val="18"/>
                <w:szCs w:val="18"/>
              </w:rPr>
              <w:t xml:space="preserve">Could not be verified here — no live MongoDB in this sandbox</w:t>
            </w:r>
          </w:p>
        </w:tc>
      </w:tr>
      <w:tr>
        <w:tc>
          <w:tcPr>
            <w:tcW w:type="dxa" w:w="500"/>
            <w:shd w:fill="FFFFFF" w:val="clear"/>
            <w:tcMar>
              <w:top w:type="dxa" w:w="60"/>
              <w:left w:type="dxa" w:w="100"/>
              <w:bottom w:type="dxa" w:w="60"/>
              <w:right w:type="dxa" w:w="100"/>
            </w:tcMar>
          </w:tcPr>
          <w:p>
            <w:r>
              <w:rPr>
                <w:sz w:val="18"/>
                <w:szCs w:val="18"/>
              </w:rPr>
              <w:t xml:space="preserve">3</w:t>
            </w:r>
          </w:p>
        </w:tc>
        <w:tc>
          <w:tcPr>
            <w:tcW w:type="dxa" w:w="4400"/>
            <w:shd w:fill="FFFFFF" w:val="clear"/>
            <w:tcMar>
              <w:top w:type="dxa" w:w="60"/>
              <w:left w:type="dxa" w:w="100"/>
              <w:bottom w:type="dxa" w:w="60"/>
              <w:right w:type="dxa" w:w="100"/>
            </w:tcMar>
          </w:tcPr>
          <w:p>
            <w:r>
              <w:rPr>
                <w:sz w:val="18"/>
                <w:szCs w:val="18"/>
              </w:rPr>
              <w:t xml:space="preserve">Review the 17 orphan-file candidates in Section 6 with someone who knows each module’s roadmap</w:t>
            </w:r>
          </w:p>
        </w:tc>
        <w:tc>
          <w:tcPr>
            <w:tcW w:type="dxa" w:w="4100"/>
            <w:shd w:fill="FFFFFF" w:val="clear"/>
            <w:tcMar>
              <w:top w:type="dxa" w:w="60"/>
              <w:left w:type="dxa" w:w="100"/>
              <w:bottom w:type="dxa" w:w="60"/>
              <w:right w:type="dxa" w:w="100"/>
            </w:tcMar>
          </w:tcPr>
          <w:p>
            <w:r>
              <w:rPr>
                <w:sz w:val="18"/>
                <w:szCs w:val="18"/>
              </w:rPr>
              <w:t xml:space="preserve">Distinguishing "abandoned" from "not yet wired" needs product context this analysis doesn’t have</w:t>
            </w:r>
          </w:p>
        </w:tc>
      </w:tr>
      <w:tr>
        <w:tc>
          <w:tcPr>
            <w:tcW w:type="dxa" w:w="500"/>
            <w:shd w:fill="F5F5F5" w:val="clear"/>
            <w:tcMar>
              <w:top w:type="dxa" w:w="60"/>
              <w:left w:type="dxa" w:w="100"/>
              <w:bottom w:type="dxa" w:w="60"/>
              <w:right w:type="dxa" w:w="100"/>
            </w:tcMar>
          </w:tcPr>
          <w:p>
            <w:r>
              <w:rPr>
                <w:sz w:val="18"/>
                <w:szCs w:val="18"/>
              </w:rPr>
              <w:t xml:space="preserve">4</w:t>
            </w:r>
          </w:p>
        </w:tc>
        <w:tc>
          <w:tcPr>
            <w:tcW w:type="dxa" w:w="4400"/>
            <w:shd w:fill="F5F5F5" w:val="clear"/>
            <w:tcMar>
              <w:top w:type="dxa" w:w="60"/>
              <w:left w:type="dxa" w:w="100"/>
              <w:bottom w:type="dxa" w:w="60"/>
              <w:right w:type="dxa" w:w="100"/>
            </w:tcMar>
          </w:tcPr>
          <w:p>
            <w:r>
              <w:rPr>
                <w:sz w:val="18"/>
                <w:szCs w:val="18"/>
              </w:rPr>
              <w:t xml:space="preserve">Decide whether AuthController.ts’s single-device-session check (Section 5.3) should be re-enabled</w:t>
            </w:r>
          </w:p>
        </w:tc>
        <w:tc>
          <w:tcPr>
            <w:tcW w:type="dxa" w:w="4100"/>
            <w:shd w:fill="F5F5F5" w:val="clear"/>
            <w:tcMar>
              <w:top w:type="dxa" w:w="60"/>
              <w:left w:type="dxa" w:w="100"/>
              <w:bottom w:type="dxa" w:w="60"/>
              <w:right w:type="dxa" w:w="100"/>
            </w:tcMar>
          </w:tcPr>
          <w:p>
            <w:r>
              <w:rPr>
                <w:sz w:val="18"/>
                <w:szCs w:val="18"/>
              </w:rPr>
              <w:t xml:space="preserve">A security-relevant behavior was found disabled; recoverable from Git history if wanted</w:t>
            </w:r>
          </w:p>
        </w:tc>
      </w:tr>
      <w:tr>
        <w:tc>
          <w:tcPr>
            <w:tcW w:type="dxa" w:w="500"/>
            <w:shd w:fill="FFFFFF" w:val="clear"/>
            <w:tcMar>
              <w:top w:type="dxa" w:w="60"/>
              <w:left w:type="dxa" w:w="100"/>
              <w:bottom w:type="dxa" w:w="60"/>
              <w:right w:type="dxa" w:w="100"/>
            </w:tcMar>
          </w:tcPr>
          <w:p>
            <w:r>
              <w:rPr>
                <w:sz w:val="18"/>
                <w:szCs w:val="18"/>
              </w:rPr>
              <w:t xml:space="preserve">5</w:t>
            </w:r>
          </w:p>
        </w:tc>
        <w:tc>
          <w:tcPr>
            <w:tcW w:type="dxa" w:w="4400"/>
            <w:shd w:fill="FFFFFF" w:val="clear"/>
            <w:tcMar>
              <w:top w:type="dxa" w:w="60"/>
              <w:left w:type="dxa" w:w="100"/>
              <w:bottom w:type="dxa" w:w="60"/>
              <w:right w:type="dxa" w:w="100"/>
            </w:tcMar>
          </w:tcPr>
          <w:p>
            <w:r>
              <w:rPr>
                <w:sz w:val="18"/>
                <w:szCs w:val="18"/>
              </w:rPr>
              <w:t xml:space="preserve">Consider migrating the ~170 remaining console.log calls to the existing winston-based logger (config/logger.ts / utils/logger.ts)</w:t>
            </w:r>
          </w:p>
        </w:tc>
        <w:tc>
          <w:tcPr>
            <w:tcW w:type="dxa" w:w="4100"/>
            <w:shd w:fill="FFFFFF" w:val="clear"/>
            <w:tcMar>
              <w:top w:type="dxa" w:w="60"/>
              <w:left w:type="dxa" w:w="100"/>
              <w:bottom w:type="dxa" w:w="60"/>
              <w:right w:type="dxa" w:w="100"/>
            </w:tcMar>
          </w:tcPr>
          <w:p>
            <w:r>
              <w:rPr>
                <w:sz w:val="18"/>
                <w:szCs w:val="18"/>
              </w:rPr>
              <w:t xml:space="preserve">Consistent, structured, level-aware logging — not urgent, since the current calls are legitimate operational output, not debug noise; a bulk migration without a live environment to visually confirm each message still needs the same care the frontend report took with its own currency/status migrations</w:t>
            </w:r>
          </w:p>
        </w:tc>
      </w:tr>
      <w:tr>
        <w:tc>
          <w:tcPr>
            <w:tcW w:type="dxa" w:w="500"/>
            <w:shd w:fill="F5F5F5" w:val="clear"/>
            <w:tcMar>
              <w:top w:type="dxa" w:w="60"/>
              <w:left w:type="dxa" w:w="100"/>
              <w:bottom w:type="dxa" w:w="60"/>
              <w:right w:type="dxa" w:w="100"/>
            </w:tcMar>
          </w:tcPr>
          <w:p>
            <w:r>
              <w:rPr>
                <w:sz w:val="18"/>
                <w:szCs w:val="18"/>
              </w:rPr>
              <w:t xml:space="preserve">6</w:t>
            </w:r>
          </w:p>
        </w:tc>
        <w:tc>
          <w:tcPr>
            <w:tcW w:type="dxa" w:w="4400"/>
            <w:shd w:fill="F5F5F5" w:val="clear"/>
            <w:tcMar>
              <w:top w:type="dxa" w:w="60"/>
              <w:left w:type="dxa" w:w="100"/>
              <w:bottom w:type="dxa" w:w="60"/>
              <w:right w:type="dxa" w:w="100"/>
            </w:tcMar>
          </w:tcPr>
          <w:p>
            <w:r>
              <w:rPr>
                <w:sz w:val="18"/>
                <w:szCs w:val="18"/>
              </w:rPr>
              <w:t xml:space="preserve">Wire the fixed backend/eslint.config.js into CI (`npm run lint`) alongside the existing `tsc --noEmit`</w:t>
            </w:r>
          </w:p>
        </w:tc>
        <w:tc>
          <w:tcPr>
            <w:tcW w:type="dxa" w:w="4100"/>
            <w:shd w:fill="F5F5F5" w:val="clear"/>
            <w:tcMar>
              <w:top w:type="dxa" w:w="60"/>
              <w:left w:type="dxa" w:w="100"/>
              <w:bottom w:type="dxa" w:w="60"/>
              <w:right w:type="dxa" w:w="100"/>
            </w:tcMar>
          </w:tcPr>
          <w:p>
            <w:r>
              <w:rPr>
                <w:sz w:val="18"/>
                <w:szCs w:val="18"/>
              </w:rPr>
              <w:t xml:space="preserve">Prevents regression now that lint tooling actually works for this project for what may be the first time</w:t>
            </w:r>
          </w:p>
        </w:tc>
      </w:tr>
    </w:tbl>
    <w:p>
      <w:pPr>
        <w:pStyle w:val="Heading1"/>
        <w:spacing w:after="200" w:before="400"/>
      </w:pPr>
      <w:r>
        <w:t xml:space="preserve">8. Final Verification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W w:type="dxa" w:w="6000"/>
            <w:tcMar>
              <w:top w:type="dxa" w:w="100"/>
              <w:left w:type="dxa" w:w="120"/>
              <w:bottom w:type="dxa" w:w="100"/>
              <w:right w:type="dxa" w:w="120"/>
            </w:tcMar>
          </w:tcPr>
          <w:p>
            <w:r>
              <w:rPr>
                <w:b w:val="false"/>
                <w:bCs w:val="false"/>
                <w:sz w:val="20"/>
                <w:szCs w:val="20"/>
              </w:rPr>
              <w:t xml:space="preserve">`tsc --noEmit`</w:t>
            </w:r>
          </w:p>
        </w:tc>
        <w:tc>
          <w:tcPr>
            <w:tcW w:type="dxa" w:w="3000"/>
            <w:tcMar>
              <w:top w:type="dxa" w:w="100"/>
              <w:left w:type="dxa" w:w="120"/>
              <w:bottom w:type="dxa" w:w="100"/>
              <w:right w:type="dxa" w:w="120"/>
            </w:tcMar>
          </w:tcPr>
          <w:p>
            <w:r>
              <w:rPr>
                <w:b/>
                <w:bCs/>
                <w:color w:val="0A7A2F"/>
                <w:sz w:val="20"/>
                <w:szCs w:val="20"/>
              </w:rPr>
              <w:t xml:space="preserve">0 errors</w:t>
            </w:r>
          </w:p>
        </w:tc>
      </w:tr>
      <w:tr>
        <w:tc>
          <w:tcPr>
            <w:tcW w:type="dxa" w:w="6000"/>
            <w:tcMar>
              <w:top w:type="dxa" w:w="100"/>
              <w:left w:type="dxa" w:w="120"/>
              <w:bottom w:type="dxa" w:w="100"/>
              <w:right w:type="dxa" w:w="120"/>
            </w:tcMar>
          </w:tcPr>
          <w:p>
            <w:r>
              <w:rPr>
                <w:b w:val="false"/>
                <w:bCs w:val="false"/>
                <w:sz w:val="20"/>
                <w:szCs w:val="20"/>
              </w:rPr>
              <w:t xml:space="preserve">`tsc` full build (`npm run build`)</w:t>
            </w:r>
          </w:p>
        </w:tc>
        <w:tc>
          <w:tcPr>
            <w:tcW w:type="dxa" w:w="3000"/>
            <w:tcMar>
              <w:top w:type="dxa" w:w="100"/>
              <w:left w:type="dxa" w:w="120"/>
              <w:bottom w:type="dxa" w:w="100"/>
              <w:right w:type="dxa" w:w="120"/>
            </w:tcMar>
          </w:tcPr>
          <w:p>
            <w:r>
              <w:rPr>
                <w:b/>
                <w:bCs/>
                <w:color w:val="0A7A2F"/>
                <w:sz w:val="20"/>
                <w:szCs w:val="20"/>
              </w:rPr>
              <w:t xml:space="preserve">0 errors</w:t>
            </w:r>
          </w:p>
        </w:tc>
      </w:tr>
      <w:tr>
        <w:tc>
          <w:tcPr>
            <w:tcW w:type="dxa" w:w="6000"/>
            <w:tcMar>
              <w:top w:type="dxa" w:w="100"/>
              <w:left w:type="dxa" w:w="120"/>
              <w:bottom w:type="dxa" w:w="100"/>
              <w:right w:type="dxa" w:w="120"/>
            </w:tcMar>
          </w:tcPr>
          <w:p>
            <w:r>
              <w:rPr>
                <w:b w:val="false"/>
                <w:bCs w:val="false"/>
                <w:sz w:val="20"/>
                <w:szCs w:val="20"/>
              </w:rPr>
              <w:t xml:space="preserve">ESLint parse errors (459 files)</w:t>
            </w:r>
          </w:p>
        </w:tc>
        <w:tc>
          <w:tcPr>
            <w:tcW w:type="dxa" w:w="3000"/>
            <w:tcMar>
              <w:top w:type="dxa" w:w="100"/>
              <w:left w:type="dxa" w:w="120"/>
              <w:bottom w:type="dxa" w:w="100"/>
              <w:right w:type="dxa" w:w="120"/>
            </w:tcMar>
          </w:tcPr>
          <w:p>
            <w:r>
              <w:rPr>
                <w:b/>
                <w:bCs/>
                <w:color w:val="0A7A2F"/>
                <w:sz w:val="20"/>
                <w:szCs w:val="20"/>
              </w:rPr>
              <w:t xml:space="preserve">0</w:t>
            </w:r>
          </w:p>
        </w:tc>
      </w:tr>
      <w:tr>
        <w:tc>
          <w:tcPr>
            <w:tcW w:type="dxa" w:w="6000"/>
            <w:tcMar>
              <w:top w:type="dxa" w:w="100"/>
              <w:left w:type="dxa" w:w="120"/>
              <w:bottom w:type="dxa" w:w="100"/>
              <w:right w:type="dxa" w:w="120"/>
            </w:tcMar>
          </w:tcPr>
          <w:p>
            <w:r>
              <w:rPr>
                <w:b w:val="false"/>
                <w:bCs w:val="false"/>
                <w:sz w:val="20"/>
                <w:szCs w:val="20"/>
              </w:rPr>
              <w:t xml:space="preserve">ESLint errors</w:t>
            </w:r>
          </w:p>
        </w:tc>
        <w:tc>
          <w:tcPr>
            <w:tcW w:type="dxa" w:w="3000"/>
            <w:tcMar>
              <w:top w:type="dxa" w:w="100"/>
              <w:left w:type="dxa" w:w="120"/>
              <w:bottom w:type="dxa" w:w="100"/>
              <w:right w:type="dxa" w:w="120"/>
            </w:tcMar>
          </w:tcPr>
          <w:p>
            <w:r>
              <w:rPr>
                <w:b/>
                <w:bCs/>
                <w:color w:val="0A7A2F"/>
                <w:sz w:val="20"/>
                <w:szCs w:val="20"/>
              </w:rPr>
              <w:t xml:space="preserve">0 (was 27)</w:t>
            </w:r>
          </w:p>
        </w:tc>
      </w:tr>
      <w:tr>
        <w:tc>
          <w:tcPr>
            <w:tcW w:type="dxa" w:w="6000"/>
            <w:tcMar>
              <w:top w:type="dxa" w:w="100"/>
              <w:left w:type="dxa" w:w="120"/>
              <w:bottom w:type="dxa" w:w="100"/>
              <w:right w:type="dxa" w:w="120"/>
            </w:tcMar>
          </w:tcPr>
          <w:p>
            <w:r>
              <w:rPr>
                <w:b w:val="false"/>
                <w:bCs w:val="false"/>
                <w:sz w:val="20"/>
                <w:szCs w:val="20"/>
              </w:rPr>
              <w:t xml:space="preserve">ESLint warnings</w:t>
            </w:r>
          </w:p>
        </w:tc>
        <w:tc>
          <w:tcPr>
            <w:tcW w:type="dxa" w:w="3000"/>
            <w:tcMar>
              <w:top w:type="dxa" w:w="100"/>
              <w:left w:type="dxa" w:w="120"/>
              <w:bottom w:type="dxa" w:w="100"/>
              <w:right w:type="dxa" w:w="120"/>
            </w:tcMar>
          </w:tcPr>
          <w:p>
            <w:r>
              <w:rPr>
                <w:b/>
                <w:bCs/>
                <w:color w:val="555555"/>
                <w:sz w:val="20"/>
                <w:szCs w:val="20"/>
              </w:rPr>
              <w:t xml:space="preserve">71 (was 73)</w:t>
            </w:r>
          </w:p>
        </w:tc>
      </w:tr>
    </w:tbl>
    <w:p>
      <w:pPr>
        <w:spacing w:after="120"/>
      </w:pPr>
      <w:r>
        <w:rPr>
          <w:i/>
          <w:iCs/>
          <w:color w:val="555555"/>
          <w:sz w:val="18"/>
          <w:szCs w:val="18"/>
        </w:rPr>
        <w:t xml:space="preserve">Both `tsc` runs used the TypeScript binary in backend’s own node_modules/.bin (unlike the frontend project, backend carries its own copy). ESLint was run via the monorepo root’s ESLint 9 binary against the new backend/eslint.config.js, per Section 3.</w:t>
      </w:r>
    </w:p>
    <w:p>
      <w:pPr>
        <w:spacing w:after="120"/>
      </w:pPr>
      <w:r>
        <w:rPr>
          <w:b/>
          <w:bCs/>
          <w:sz w:val="20"/>
          <w:szCs w:val="20"/>
        </w:rPr>
        <w:t xml:space="preserve">The one thing this sandbox could not verify is the test suite (npm test) — it requires a live MongoDB connection and hangs indefinitely without one here. Please run it locally before merging, the same way the frontend report asked you to confirm npm run build there.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0020" w:sz="6" w:space="4"/>
      </w:pBdr>
      <w:spacing w:after="200" w:before="400"/>
    </w:pPr>
    <w:rPr>
      <w:rFonts w:ascii="Calibri" w:cs="Calibri" w:eastAsia="Calibri" w:hAnsi="Calibri"/>
      <w:b/>
      <w:bCs/>
      <w:color w:val="B00020"/>
      <w:sz w:val="30"/>
      <w:szCs w:val="30"/>
    </w:rPr>
  </w:style>
  <w:style w:type="paragraph" w:styleId="Heading2">
    <w:name w:val="Heading 2"/>
    <w:basedOn w:val="Normal"/>
    <w:next w:val="Normal"/>
    <w:qFormat/>
    <w:pPr>
      <w:spacing w:after="140" w:before="280"/>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2026-09-02T13:31:19.812Z</dcterms:created>
  <dcterms:modified xsi:type="dcterms:W3CDTF">2026-09-02T13:31:19.813Z</dcterms:modified>
</cp:coreProperties>
</file>

<file path=docProps/custom.xml><?xml version="1.0" encoding="utf-8"?>
<Properties xmlns="http://schemas.openxmlformats.org/officeDocument/2006/custom-properties" xmlns:vt="http://schemas.openxmlformats.org/officeDocument/2006/docPropsVTypes"/>
</file>