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DAD" w:rsidRDefault="00635821">
      <w:pPr>
        <w:pStyle w:val="Heading1"/>
      </w:pPr>
      <w:bookmarkStart w:id="0" w:name="_wd5mdoxxt7do" w:colFirst="0" w:colLast="0"/>
      <w:bookmarkEnd w:id="0"/>
      <w:r>
        <w:t xml:space="preserve">SMARTBRIDGE — Let's Bridge the Gap </w:t>
      </w:r>
    </w:p>
    <w:p w:rsidR="00D27DAD" w:rsidRDefault="00635821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29 September 2026</w:t>
      </w:r>
    </w:p>
    <w:p w:rsidR="00D27DAD" w:rsidRDefault="00635821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SWTID-2026-8700</w:t>
      </w:r>
    </w:p>
    <w:p w:rsidR="00D27DAD" w:rsidRDefault="00635821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</w:t>
      </w:r>
      <w:proofErr w:type="spellStart"/>
      <w:r>
        <w:t>LegalEase</w:t>
      </w:r>
      <w:proofErr w:type="spellEnd"/>
      <w:r>
        <w:t>: AI-Powered Legal Document Generator</w:t>
      </w:r>
    </w:p>
    <w:p w:rsidR="00D27DAD" w:rsidRDefault="00635821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4 Marks </w:t>
      </w:r>
    </w:p>
    <w:p w:rsidR="00D27DAD" w:rsidRDefault="00D27D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27DAD" w:rsidRDefault="00635821">
      <w:r>
        <w:pict w14:anchorId="5ABA7B0F">
          <v:rect id="_x0000_i1025" style="width:0;height:1.5pt" o:hralign="center" o:hrstd="t" o:hr="t" fillcolor="#a0a0a0" stroked="f"/>
        </w:pict>
      </w:r>
    </w:p>
    <w:p w:rsidR="00D27DAD" w:rsidRPr="00635821" w:rsidRDefault="00635821">
      <w:pPr>
        <w:pStyle w:val="Heading2"/>
        <w:rPr>
          <w:b/>
          <w:sz w:val="40"/>
        </w:rPr>
      </w:pPr>
      <w:bookmarkStart w:id="1" w:name="_tts12c1tn967" w:colFirst="0" w:colLast="0"/>
      <w:bookmarkEnd w:id="1"/>
      <w:r w:rsidRPr="00635821">
        <w:rPr>
          <w:b/>
          <w:sz w:val="40"/>
        </w:rPr>
        <w:t>Solution Requirements Document</w:t>
      </w:r>
      <w:bookmarkStart w:id="2" w:name="_GoBack"/>
      <w:bookmarkEnd w:id="2"/>
    </w:p>
    <w:p w:rsidR="00D27DAD" w:rsidRDefault="00635821">
      <w:r>
        <w:rPr>
          <w:b/>
          <w:bCs/>
        </w:rPr>
        <w:t>LEGAL EASE — AI-Powered Legal Document Generator</w:t>
      </w:r>
    </w:p>
    <w:p w:rsidR="00D27DAD" w:rsidRDefault="00D27D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27DAD" w:rsidRDefault="00635821">
      <w:pPr>
        <w:ind w:left="600" w:right="600"/>
      </w:pPr>
      <w:r>
        <w:rPr>
          <w:i/>
          <w:iCs/>
        </w:rPr>
        <w:t xml:space="preserve">Define Functional and Non-Functional Requirements: Create a comprehensive list of requirements to define exactly what your solution will do and how well it will perform based on the </w:t>
      </w:r>
      <w:proofErr w:type="spellStart"/>
      <w:r>
        <w:rPr>
          <w:i/>
          <w:iCs/>
        </w:rPr>
        <w:t>LegalEase</w:t>
      </w:r>
      <w:proofErr w:type="spellEnd"/>
      <w:r>
        <w:rPr>
          <w:i/>
          <w:iCs/>
        </w:rPr>
        <w:t xml:space="preserve"> project archit</w:t>
      </w:r>
      <w:r>
        <w:rPr>
          <w:i/>
          <w:iCs/>
        </w:rPr>
        <w:t>ecture.</w:t>
      </w:r>
      <w:r>
        <w:t xml:space="preserve"> [cite: 6]</w:t>
      </w:r>
    </w:p>
    <w:p w:rsidR="00D27DAD" w:rsidRDefault="00D27D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27DAD" w:rsidRDefault="00635821">
      <w:r>
        <w:pict w14:anchorId="568AEA14">
          <v:rect id="_x0000_i1026" style="width:0;height:1.5pt" o:hralign="center" o:hrstd="t" o:hr="t" fillcolor="#a0a0a0" stroked="f"/>
        </w:pict>
      </w:r>
    </w:p>
    <w:p w:rsidR="00D27DAD" w:rsidRDefault="00635821">
      <w:pPr>
        <w:pStyle w:val="Heading3"/>
      </w:pPr>
      <w:bookmarkStart w:id="3" w:name="_y6dzucn9j6s6" w:colFirst="0" w:colLast="0"/>
      <w:bookmarkEnd w:id="3"/>
      <w:r>
        <w:rPr>
          <w:b/>
          <w:bCs/>
        </w:rPr>
        <w:t>Step 1: Functional Requirements (FR)</w:t>
      </w:r>
      <w:r>
        <w:t xml:space="preserve"> [cite: 6]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27DAD">
        <w:trPr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pPr>
              <w:rPr>
                <w:b/>
                <w:bCs/>
              </w:rPr>
            </w:pPr>
            <w:r>
              <w:rPr>
                <w:b/>
                <w:bCs/>
              </w:rPr>
              <w:t>Requirement Category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pPr>
              <w:rPr>
                <w:b/>
                <w:bCs/>
              </w:rPr>
            </w:pPr>
            <w:r>
              <w:rPr>
                <w:b/>
                <w:bCs/>
              </w:rPr>
              <w:t>Requirement Description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pPr>
              <w:rPr>
                <w:b/>
                <w:bCs/>
              </w:rPr>
            </w:pPr>
            <w:r>
              <w:rPr>
                <w:b/>
                <w:bCs/>
              </w:rPr>
              <w:t>Priority (High/Medium/Low)</w:t>
            </w:r>
          </w:p>
        </w:tc>
      </w:tr>
      <w:tr w:rsidR="00D27DAD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Authentication &amp; Authorization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 xml:space="preserve">The system utilizes environment-based API credential configuration via </w:t>
            </w:r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env</w:t>
            </w:r>
            <w:proofErr w:type="spellEnd"/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GEMINI_API_KEY</w:t>
            </w:r>
            <w:r>
              <w:t>) to secure access to the Google Gemini model.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t>High</w:t>
            </w:r>
          </w:p>
        </w:tc>
      </w:tr>
      <w:tr w:rsidR="00D27DAD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Authorization levels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 xml:space="preserve">Defines single-user client access through the </w:t>
            </w:r>
            <w:proofErr w:type="spellStart"/>
            <w:r>
              <w:t>Streamlit</w:t>
            </w:r>
            <w:proofErr w:type="spellEnd"/>
            <w:r>
              <w:t xml:space="preserve"> interface (</w:t>
            </w:r>
            <w:r>
              <w:rPr>
                <w:rFonts w:ascii="Roboto Mono" w:eastAsia="Roboto Mono" w:hAnsi="Roboto Mono" w:cs="Roboto Mono"/>
                <w:color w:val="188038"/>
              </w:rPr>
              <w:t>frontend/app.py</w:t>
            </w:r>
            <w:r>
              <w:t xml:space="preserve">) routing requests directly to the </w:t>
            </w:r>
            <w:proofErr w:type="spellStart"/>
            <w:r>
              <w:t>FastAPI</w:t>
            </w:r>
            <w:proofErr w:type="spellEnd"/>
            <w:r>
              <w:t xml:space="preserve"> backend API endpoints.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t>Medium</w:t>
            </w:r>
          </w:p>
        </w:tc>
      </w:tr>
      <w:tr w:rsidR="00D27DAD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External interfaces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Integrates with the Google Generative AI API (</w:t>
            </w:r>
            <w:r>
              <w:rPr>
                <w:rFonts w:ascii="Roboto Mono" w:eastAsia="Roboto Mono" w:hAnsi="Roboto Mono" w:cs="Roboto Mono"/>
                <w:color w:val="188038"/>
              </w:rPr>
              <w:t>google-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generativeai</w:t>
            </w:r>
            <w:proofErr w:type="spellEnd"/>
            <w:r>
              <w:t xml:space="preserve"> SDK) using the </w:t>
            </w:r>
            <w:r>
              <w:rPr>
                <w:rFonts w:ascii="Roboto Mono" w:eastAsia="Roboto Mono" w:hAnsi="Roboto Mono" w:cs="Roboto Mono"/>
                <w:color w:val="188038"/>
              </w:rPr>
              <w:t>gemini-1.5-pro</w:t>
            </w:r>
            <w:r>
              <w:t xml:space="preserve"> model to generate formal legal text.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t>High</w:t>
            </w:r>
          </w:p>
        </w:tc>
      </w:tr>
      <w:tr w:rsidR="00D27DAD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t>4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Transactions processing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Handles JSON-based POST requests (</w:t>
            </w:r>
            <w:r>
              <w:rPr>
                <w:rFonts w:ascii="Roboto Mono" w:eastAsia="Roboto Mono" w:hAnsi="Roboto Mono" w:cs="Roboto Mono"/>
                <w:color w:val="188038"/>
              </w:rPr>
              <w:t>/generate</w:t>
            </w:r>
            <w:r>
              <w:t>) containing structured docu</w:t>
            </w:r>
            <w:r>
              <w:t>ment fields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document_type</w:t>
            </w:r>
            <w:proofErr w:type="spellEnd"/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parties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terms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date</w:t>
            </w:r>
            <w:r>
              <w:t xml:space="preserve">) validated via </w:t>
            </w:r>
            <w:proofErr w:type="spellStart"/>
            <w:r>
              <w:t>Pydantic</w:t>
            </w:r>
            <w:proofErr w:type="spellEnd"/>
            <w:r>
              <w:t xml:space="preserve"> models (</w:t>
            </w:r>
            <w:r>
              <w:rPr>
                <w:rFonts w:ascii="Roboto Mono" w:eastAsia="Roboto Mono" w:hAnsi="Roboto Mono" w:cs="Roboto Mono"/>
                <w:color w:val="188038"/>
              </w:rPr>
              <w:t>backend/models.py</w:t>
            </w:r>
            <w:r>
              <w:t>).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t>High</w:t>
            </w:r>
          </w:p>
        </w:tc>
      </w:tr>
      <w:tr w:rsidR="00D27DAD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t>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Reporting &amp; Export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 xml:space="preserve">Generates structured markdown and text-based legal document outputs directly on the </w:t>
            </w:r>
            <w:proofErr w:type="spellStart"/>
            <w:r>
              <w:t>Streamlit</w:t>
            </w:r>
            <w:proofErr w:type="spellEnd"/>
            <w:r>
              <w:t xml:space="preserve"> dashboard, with supporting backend architecture for document processing libraries (</w:t>
            </w:r>
            <w:r>
              <w:rPr>
                <w:rFonts w:ascii="Roboto Mono" w:eastAsia="Roboto Mono" w:hAnsi="Roboto Mono" w:cs="Roboto Mono"/>
                <w:color w:val="188038"/>
              </w:rPr>
              <w:t>python-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docx</w:t>
            </w:r>
            <w:proofErr w:type="spellEnd"/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fpdf</w:t>
            </w:r>
            <w:proofErr w:type="spellEnd"/>
            <w:r>
              <w:t>).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t>High</w:t>
            </w:r>
          </w:p>
        </w:tc>
      </w:tr>
      <w:tr w:rsidR="00D27DAD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t>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Business rules, etc.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Applies input sanitization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utils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/sanitizer.py</w:t>
            </w:r>
            <w:r>
              <w:t xml:space="preserve">) to clean user text inputs before </w:t>
            </w:r>
            <w:r>
              <w:lastRenderedPageBreak/>
              <w:t>constructing dynamic legal prompt structures for generation.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lastRenderedPageBreak/>
              <w:t>High</w:t>
            </w:r>
          </w:p>
        </w:tc>
      </w:tr>
      <w:tr w:rsidR="00D27DAD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lastRenderedPageBreak/>
              <w:t>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Compliance to laws or regulations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Adheres to secure API key handling practices, preventing sensitive credential exposure in code repos</w:t>
            </w:r>
            <w:r>
              <w:t>itories by utilizing local environment variables (</w:t>
            </w:r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env</w:t>
            </w:r>
            <w:proofErr w:type="spellEnd"/>
            <w:r>
              <w:t>).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t>Medium</w:t>
            </w:r>
          </w:p>
        </w:tc>
      </w:tr>
      <w:tr w:rsidR="00D27DAD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t>8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Other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 xml:space="preserve">Provides immediate error responses and status checking via the </w:t>
            </w:r>
            <w:proofErr w:type="spellStart"/>
            <w:r>
              <w:t>FastAPI</w:t>
            </w:r>
            <w:proofErr w:type="spellEnd"/>
            <w:r>
              <w:t xml:space="preserve"> root endpoint (</w:t>
            </w:r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r>
              <w:t>) to confirm backend service availability.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t>Low</w:t>
            </w:r>
          </w:p>
        </w:tc>
      </w:tr>
    </w:tbl>
    <w:p w:rsidR="00D27DAD" w:rsidRDefault="00D27D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27DAD" w:rsidRDefault="00635821">
      <w:r>
        <w:pict>
          <v:rect id="_x0000_i1027" style="width:0;height:1.5pt" o:hralign="center" o:hrstd="t" o:hr="t" fillcolor="#a0a0a0" stroked="f"/>
        </w:pict>
      </w:r>
    </w:p>
    <w:p w:rsidR="00D27DAD" w:rsidRDefault="00635821">
      <w:pPr>
        <w:pStyle w:val="Heading3"/>
      </w:pPr>
      <w:bookmarkStart w:id="4" w:name="_crohx05yiifw" w:colFirst="0" w:colLast="0"/>
      <w:bookmarkEnd w:id="4"/>
      <w:r>
        <w:rPr>
          <w:b/>
          <w:bCs/>
        </w:rPr>
        <w:t>Step 2: Non-Functional Requirements (NFR)</w:t>
      </w:r>
      <w:r>
        <w:t xml:space="preserve"> [cite: 6]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27DAD">
        <w:trPr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pPr>
              <w:rPr>
                <w:b/>
                <w:bCs/>
              </w:rPr>
            </w:pPr>
            <w:r>
              <w:rPr>
                <w:b/>
                <w:bCs/>
              </w:rPr>
              <w:t>NFR Category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pPr>
              <w:rPr>
                <w:b/>
                <w:bCs/>
              </w:rPr>
            </w:pPr>
            <w:r>
              <w:rPr>
                <w:b/>
                <w:bCs/>
              </w:rPr>
              <w:t>Requirement Description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pPr>
              <w:rPr>
                <w:b/>
                <w:bCs/>
              </w:rPr>
            </w:pPr>
            <w:r>
              <w:rPr>
                <w:b/>
                <w:bCs/>
              </w:rPr>
              <w:t>Target Metric / Acceptance Criteria</w:t>
            </w:r>
          </w:p>
        </w:tc>
      </w:tr>
      <w:tr w:rsidR="00D27DAD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Performance &amp; Speed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 xml:space="preserve">The </w:t>
            </w:r>
            <w:proofErr w:type="spellStart"/>
            <w:r>
              <w:t>FastAPI</w:t>
            </w:r>
            <w:proofErr w:type="spellEnd"/>
            <w:r>
              <w:t xml:space="preserve"> backend processes incoming generation requests and returns model responses efficiently.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Page loads and initial API response render w</w:t>
            </w:r>
            <w:r>
              <w:t>ithin $&lt; 3$ seconds under standard network conditions. [cite: 6]</w:t>
            </w:r>
          </w:p>
        </w:tc>
      </w:tr>
      <w:tr w:rsidR="00D27DAD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Scalability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The decoupled architecture (</w:t>
            </w:r>
            <w:proofErr w:type="spellStart"/>
            <w:r>
              <w:t>FastAPI</w:t>
            </w:r>
            <w:proofErr w:type="spellEnd"/>
            <w:r>
              <w:t xml:space="preserve"> backend and </w:t>
            </w:r>
            <w:proofErr w:type="spellStart"/>
            <w:r>
              <w:t>Streamlit</w:t>
            </w:r>
            <w:proofErr w:type="spellEnd"/>
            <w:r>
              <w:t xml:space="preserve"> frontend) </w:t>
            </w:r>
            <w:r>
              <w:lastRenderedPageBreak/>
              <w:t>allows independent scaling of API workers and client instances.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lastRenderedPageBreak/>
              <w:t xml:space="preserve">Supports up to 1,000 concurrent document generation requests without degradation </w:t>
            </w:r>
            <w:r>
              <w:lastRenderedPageBreak/>
              <w:t>in routing performance. [cite: 6]</w:t>
            </w:r>
          </w:p>
        </w:tc>
      </w:tr>
      <w:tr w:rsidR="00D27DAD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Security &amp; Data Privacy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Secure communication between frontend and backend, with strict isolation of API keys using environment variables.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 xml:space="preserve">API keys stored securely </w:t>
            </w:r>
            <w:proofErr w:type="gramStart"/>
            <w:r>
              <w:t xml:space="preserve">via </w:t>
            </w:r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env</w:t>
            </w:r>
            <w:proofErr w:type="spellEnd"/>
            <w:proofErr w:type="gramEnd"/>
            <w:r>
              <w:t xml:space="preserve"> configuration; input parameters sanitized via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utils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/sanitizer.py</w:t>
            </w:r>
            <w:r>
              <w:t>. [cite: 6]</w:t>
            </w:r>
          </w:p>
        </w:tc>
      </w:tr>
      <w:tr w:rsidR="00D27DAD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t>4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Reliability &amp; Availability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 xml:space="preserve">The </w:t>
            </w:r>
            <w:proofErr w:type="spellStart"/>
            <w:r>
              <w:t>FastAPI</w:t>
            </w:r>
            <w:proofErr w:type="spellEnd"/>
            <w:r>
              <w:t xml:space="preserve"> server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uvicorn</w:t>
            </w:r>
            <w:proofErr w:type="spellEnd"/>
            <w:r>
              <w:t>) provides stable local and hosted execution with exception handling for API calls.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Maint</w:t>
            </w:r>
            <w:r>
              <w:t>ains 99.9% uptime during active operational sessions. [cite: 6]</w:t>
            </w:r>
          </w:p>
        </w:tc>
      </w:tr>
      <w:tr w:rsidR="00D27DAD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t>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Usability &amp; Accessibility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 xml:space="preserve">The </w:t>
            </w:r>
            <w:proofErr w:type="spellStart"/>
            <w:r>
              <w:t>Streamlit</w:t>
            </w:r>
            <w:proofErr w:type="spellEnd"/>
            <w:r>
              <w:t xml:space="preserve"> user interface offers an intuitive layout with clear text inputs and data areas for seamless document creation.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Clean layout matching standard UI readability and responsiveness guidelines (WCAG compatible design). [cite: 6]</w:t>
            </w:r>
          </w:p>
        </w:tc>
      </w:tr>
      <w:tr w:rsidR="00D27DAD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rPr>
                <w:b/>
                <w:bCs/>
              </w:rPr>
              <w:t>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Other (Maintainability &amp; Portability)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>Modular codebase separated into distinct directories (</w:t>
            </w:r>
            <w:r>
              <w:rPr>
                <w:rFonts w:ascii="Roboto Mono" w:eastAsia="Roboto Mono" w:hAnsi="Roboto Mono" w:cs="Roboto Mono"/>
                <w:color w:val="188038"/>
              </w:rPr>
              <w:t>backend/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frontend/</w:t>
            </w:r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utils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r>
              <w:t>) for easy maintenance</w:t>
            </w:r>
            <w:r>
              <w:t xml:space="preserve"> and dependency tracking via </w:t>
            </w:r>
            <w:r>
              <w:rPr>
                <w:rFonts w:ascii="Roboto Mono" w:eastAsia="Roboto Mono" w:hAnsi="Roboto Mono" w:cs="Roboto Mono"/>
                <w:color w:val="188038"/>
              </w:rPr>
              <w:t>requirements.txt</w:t>
            </w:r>
            <w:r>
              <w:t>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DAD" w:rsidRDefault="00635821">
            <w:r>
              <w:t xml:space="preserve">Codebase is fully </w:t>
            </w:r>
            <w:proofErr w:type="spellStart"/>
            <w:r>
              <w:t>containerizable</w:t>
            </w:r>
            <w:proofErr w:type="spellEnd"/>
            <w:r>
              <w:t xml:space="preserve"> and portable across standard Python environments. [cite: 6]</w:t>
            </w:r>
          </w:p>
        </w:tc>
      </w:tr>
    </w:tbl>
    <w:p w:rsidR="00D27DAD" w:rsidRDefault="00D27DAD"/>
    <w:sectPr w:rsidR="00D27DA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40498B8C-68BC-44FD-82D0-4144DC5B28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08A978D-7505-4AAE-A9F1-C22B9EB0C3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781829F-F5D4-483A-A301-AA29C74EAE6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6D2814"/>
    <w:multiLevelType w:val="multilevel"/>
    <w:tmpl w:val="7A4AFAC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DAD"/>
    <w:rsid w:val="00635821"/>
    <w:rsid w:val="00D2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F1121"/>
  <w15:docId w15:val="{30CC882A-BBD4-45C1-8125-8E90F78DF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Lee j</cp:lastModifiedBy>
  <cp:revision>2</cp:revision>
  <dcterms:created xsi:type="dcterms:W3CDTF">2026-09-30T04:27:00Z</dcterms:created>
  <dcterms:modified xsi:type="dcterms:W3CDTF">2026-09-30T04:27:00Z</dcterms:modified>
</cp:coreProperties>
</file>