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sz w:val="40"/>
          <w:szCs w:val="40"/>
          <w:shd w:val="clear" w:color="auto" w:fill="ffffff"/>
        </w:rPr>
      </w:pPr>
      <w:r>
        <w:rPr>
          <w:b w:val="1"/>
          <w:bCs w:val="1"/>
          <w:sz w:val="40"/>
          <w:szCs w:val="40"/>
          <w:shd w:val="clear" w:color="auto" w:fill="ffffff"/>
          <w:rtl w:val="0"/>
          <w:lang w:val="en-US"/>
        </w:rPr>
        <w:t>Designing an AI-Powered Meal Planning Experience</w:t>
      </w:r>
      <w:r>
        <w:rPr>
          <w:b w:val="1"/>
          <w:bCs w:val="1"/>
          <w:sz w:val="40"/>
          <w:szCs w:val="40"/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535981</wp:posOffset>
            </wp:positionV>
            <wp:extent cx="5943600" cy="3646405"/>
            <wp:effectExtent l="0" t="0" r="0" b="0"/>
            <wp:wrapTopAndBottom distT="152400" distB="152400"/>
            <wp:docPr id="1073741825" name="officeArt object" descr="01 - Semiboldtomedium.mo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01 - Semiboldtomedium.mov" title="01 - Semiboldtomedium.mov" descr="movie::/Users/vigneshkannan/Documents/Portfolio/Website/Blogs/Figma plugin/01 - Semiboldtomedium.mov"/>
                    <pic:cNvPicPr>
                      <a:picLocks noChangeAspect="0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4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When our brand agency recommended shifting from semi-bold to medium font weights across product surfaces, it sounded simple. It wasn</w:t>
      </w:r>
      <w:r>
        <w:rPr>
          <w:rFonts w:ascii="Helvetica" w:hAnsi="Helvetica" w:hint="default"/>
          <w:sz w:val="30"/>
          <w:szCs w:val="30"/>
          <w:shd w:val="clear" w:color="auto" w:fill="ffffff"/>
          <w:rtl w:val="1"/>
        </w:rPr>
        <w:t>’</w:t>
      </w:r>
      <w:r>
        <w:rPr>
          <w:rFonts w:ascii="Helvetica" w:hAnsi="Helvetica"/>
          <w:sz w:val="30"/>
          <w:szCs w:val="30"/>
          <w:shd w:val="clear" w:color="auto" w:fill="ffffff"/>
          <w:rtl w:val="0"/>
        </w:rPr>
        <w:t>t.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The ask wasn</w:t>
      </w:r>
      <w:r>
        <w:rPr>
          <w:rFonts w:ascii="Helvetica" w:hAnsi="Helvetica" w:hint="default"/>
          <w:sz w:val="30"/>
          <w:szCs w:val="30"/>
          <w:shd w:val="clear" w:color="auto" w:fill="ffffff"/>
          <w:rtl w:val="1"/>
        </w:rPr>
        <w:t>’</w:t>
      </w: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t cosmetic. My responsibility was to evaluate the impact of this change on information hierarchy, scannability, and system clarity across both app and web. That meant auditing and updating every screen</w:t>
      </w:r>
      <w:r>
        <w:rPr>
          <w:rFonts w:ascii="Helvetica" w:hAnsi="Helvetica" w:hint="default"/>
          <w:sz w:val="30"/>
          <w:szCs w:val="30"/>
          <w:shd w:val="clear" w:color="auto" w:fill="ffffff"/>
          <w:rtl w:val="0"/>
          <w:lang w:val="en-US"/>
        </w:rPr>
        <w:t>—</w:t>
      </w: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ensuring only semi-bold layers changed, without disturbing established layout or semantic weight relationships.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Manually, this would have taken days of repetitive, error-prone work.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So I didn</w:t>
      </w:r>
      <w:r>
        <w:rPr>
          <w:rFonts w:ascii="Helvetica" w:hAnsi="Helvetica" w:hint="default"/>
          <w:sz w:val="30"/>
          <w:szCs w:val="30"/>
          <w:shd w:val="clear" w:color="auto" w:fill="ffffff"/>
          <w:rtl w:val="1"/>
        </w:rPr>
        <w:t>’</w:t>
      </w: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t do it manually.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6"/>
          <w:szCs w:val="3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42"/>
          <w:szCs w:val="42"/>
          <w:shd w:val="clear" w:color="auto" w:fill="ffffff"/>
        </w:rPr>
      </w:pPr>
      <w:r>
        <w:rPr>
          <w:rFonts w:ascii="Helvetica" w:hAnsi="Helvetica"/>
          <w:b w:val="1"/>
          <w:bCs w:val="1"/>
          <w:sz w:val="42"/>
          <w:szCs w:val="42"/>
          <w:shd w:val="clear" w:color="auto" w:fill="ffffff"/>
          <w:rtl w:val="0"/>
          <w:lang w:val="en-US"/>
        </w:rPr>
        <w:t>The Build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6"/>
          <w:szCs w:val="3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I vibe coded a Figma plugin that: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Helvetica" w:hAnsi="Helvetica"/>
          <w:sz w:val="30"/>
          <w:szCs w:val="30"/>
          <w:shd w:val="clear" w:color="auto" w:fill="ffffff"/>
          <w:lang w:val="en-US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Let me select any number of frames</w:t>
      </w:r>
      <w:r>
        <w:rPr>
          <w:rFonts w:ascii="Helvetica" w:cs="Helvetica" w:hAnsi="Helvetica" w:eastAsia="Helvetica"/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Helvetica" w:hAnsi="Helvetica"/>
          <w:sz w:val="30"/>
          <w:szCs w:val="30"/>
          <w:shd w:val="clear" w:color="auto" w:fill="ffffff"/>
          <w:lang w:val="en-US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Scanned for semi-bold text layers only</w:t>
      </w:r>
      <w:r>
        <w:rPr>
          <w:rFonts w:ascii="Helvetica" w:cs="Helvetica" w:hAnsi="Helvetica" w:eastAsia="Helvetica"/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Helvetica" w:hAnsi="Helvetica"/>
          <w:sz w:val="30"/>
          <w:szCs w:val="30"/>
          <w:shd w:val="clear" w:color="auto" w:fill="ffffff"/>
          <w:lang w:val="en-US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Converted them to medium in one click</w:t>
      </w:r>
      <w:r>
        <w:rPr>
          <w:rFonts w:ascii="Helvetica" w:cs="Helvetica" w:hAnsi="Helvetica" w:eastAsia="Helvetica"/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Helvetica" w:hAnsi="Helvetica"/>
          <w:sz w:val="30"/>
          <w:szCs w:val="30"/>
          <w:shd w:val="clear" w:color="auto" w:fill="ffffff"/>
          <w:lang w:val="en-US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Preserved structure, hierarchy, and component integrity</w:t>
      </w:r>
      <w:r>
        <w:rPr>
          <w:rFonts w:ascii="Helvetica" w:cs="Helvetica" w:hAnsi="Helvetica" w:eastAsia="Helvetica"/>
          <w:sz w:val="30"/>
          <w:szCs w:val="30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Instead of treating the task as production labor, I treated it as a systems problem.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The plugin wasn</w:t>
      </w:r>
      <w:r>
        <w:rPr>
          <w:rFonts w:ascii="Helvetica" w:hAnsi="Helvetica" w:hint="default"/>
          <w:sz w:val="30"/>
          <w:szCs w:val="30"/>
          <w:shd w:val="clear" w:color="auto" w:fill="ffffff"/>
          <w:rtl w:val="1"/>
        </w:rPr>
        <w:t>’</w:t>
      </w: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t about automation for its own sake. It was about operationalizing a design decision at scale while protecting UX intent.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56"/>
          <w:szCs w:val="5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42"/>
          <w:szCs w:val="42"/>
          <w:shd w:val="clear" w:color="auto" w:fill="ffffff"/>
        </w:rPr>
      </w:pPr>
      <w:r>
        <w:rPr>
          <w:rFonts w:ascii="Helvetica" w:hAnsi="Helvetica"/>
          <w:b w:val="1"/>
          <w:bCs w:val="1"/>
          <w:sz w:val="42"/>
          <w:szCs w:val="42"/>
          <w:shd w:val="clear" w:color="auto" w:fill="ffffff"/>
          <w:rtl w:val="0"/>
          <w:lang w:val="en-US"/>
        </w:rPr>
        <w:t>The Impact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What would have taken days was reduced to minutes.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More importantly, it freed cognitive bandwidth. Instead of spending time executing mechanical changes, I could focus on evaluating hierarchy shifts, adjusting edge cases, and making principled design decisions.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42"/>
          <w:szCs w:val="42"/>
          <w:shd w:val="clear" w:color="auto" w:fill="ffffff"/>
        </w:rPr>
      </w:pPr>
      <w:r>
        <w:rPr>
          <w:rFonts w:ascii="Helvetica" w:hAnsi="Helvetica"/>
          <w:b w:val="1"/>
          <w:bCs w:val="1"/>
          <w:sz w:val="42"/>
          <w:szCs w:val="42"/>
          <w:shd w:val="clear" w:color="auto" w:fill="ffffff"/>
          <w:rtl w:val="0"/>
          <w:lang w:val="en-US"/>
        </w:rPr>
        <w:t>Why This Matters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This experience shaped how I think about AI in product design.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AI-native workflows aren</w:t>
      </w:r>
      <w:r>
        <w:rPr>
          <w:rFonts w:ascii="Helvetica" w:hAnsi="Helvetica" w:hint="default"/>
          <w:sz w:val="30"/>
          <w:szCs w:val="30"/>
          <w:shd w:val="clear" w:color="auto" w:fill="ffffff"/>
          <w:rtl w:val="1"/>
        </w:rPr>
        <w:t>’</w:t>
      </w: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t just about generating content or visuals. They</w:t>
      </w:r>
      <w:r>
        <w:rPr>
          <w:rFonts w:ascii="Helvetica" w:hAnsi="Helvetica" w:hint="default"/>
          <w:sz w:val="30"/>
          <w:szCs w:val="30"/>
          <w:shd w:val="clear" w:color="auto" w:fill="ffffff"/>
          <w:rtl w:val="1"/>
        </w:rPr>
        <w:t>’</w:t>
      </w: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re about removing friction from high-leverage work. Vibe coding allowed me to translate intent into tooling instantly</w:t>
      </w:r>
      <w:r>
        <w:rPr>
          <w:rFonts w:ascii="Helvetica" w:hAnsi="Helvetica" w:hint="default"/>
          <w:sz w:val="30"/>
          <w:szCs w:val="30"/>
          <w:shd w:val="clear" w:color="auto" w:fill="ffffff"/>
          <w:rtl w:val="0"/>
          <w:lang w:val="en-US"/>
        </w:rPr>
        <w:t>—</w:t>
      </w: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collapsing the gap between idea and execution.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For me, AI is most powerful when it amplifies craft and judgment, not replaces them.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Helvetica" w:hAnsi="Helvetica"/>
          <w:sz w:val="30"/>
          <w:szCs w:val="30"/>
          <w:shd w:val="clear" w:color="auto" w:fill="ffffff"/>
          <w:rtl w:val="0"/>
          <w:lang w:val="en-US"/>
        </w:rPr>
        <w:t>This project was a small example of that philosophy in action.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57" w:hanging="417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77" w:hanging="417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97" w:hanging="417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17" w:hanging="417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37" w:hanging="417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57" w:hanging="417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77" w:hanging="417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97" w:hanging="417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