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  <w:b w:val="1"/>
          <w:sz w:val="36"/>
          <w:szCs w:val="36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36"/>
          <w:szCs w:val="36"/>
          <w:rtl w:val="0"/>
        </w:rPr>
        <w:t xml:space="preserve">[PRD] Gpay IN - Organic Resurrection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666666"/>
          <w:sz w:val="18"/>
          <w:szCs w:val="18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sz w:val="18"/>
          <w:szCs w:val="18"/>
          <w:rtl w:val="0"/>
        </w:rPr>
        <w:t xml:space="preserve">Analytics: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Shivi Garg</w:t>
        </w:r>
      </w:hyperlink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Sakshi 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b w:val="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sz w:val="18"/>
          <w:szCs w:val="18"/>
          <w:rtl w:val="0"/>
        </w:rPr>
        <w:t xml:space="preserve">As of : </w:t>
      </w:r>
      <w:r w:rsidDel="00000000" w:rsidR="00000000" w:rsidRPr="00000000">
        <w:rPr>
          <w:rFonts w:ascii="Google Sans" w:cs="Google Sans" w:eastAsia="Google Sans" w:hAnsi="Google Sans"/>
          <w:color w:val="666666"/>
          <w:sz w:val="18"/>
          <w:szCs w:val="18"/>
          <w:rtl w:val="0"/>
        </w:rPr>
        <w:t xml:space="preserve">Aug 19,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Status: (DRAFT</w:t>
      </w:r>
      <w:r w:rsidDel="00000000" w:rsidR="00000000" w:rsidRPr="00000000">
        <w:rPr>
          <w:rFonts w:ascii="Google Sans" w:cs="Google Sans" w:eastAsia="Google Sans" w:hAnsi="Google Sans"/>
          <w:color w:val="b7b7b7"/>
          <w:sz w:val="20"/>
          <w:szCs w:val="20"/>
          <w:rtl w:val="0"/>
        </w:rPr>
        <w:t xml:space="preserve">|IN REVIEW|FINAL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200" w:lineRule="auto"/>
        <w:rPr>
          <w:rFonts w:ascii="Google Sans" w:cs="Google Sans" w:eastAsia="Google Sans" w:hAnsi="Google Sans"/>
          <w:sz w:val="20"/>
          <w:szCs w:val="20"/>
        </w:rPr>
      </w:pPr>
      <w:bookmarkStart w:colFirst="0" w:colLast="0" w:name="_hrn3bbvhkq17" w:id="0"/>
      <w:bookmarkEnd w:id="0"/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0"/>
          <w:szCs w:val="20"/>
          <w:rtl w:val="0"/>
        </w:rPr>
        <w:t xml:space="preserve">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To identify which merchants resurrect organically to further understand reasons for resurrection, their behavior once resurrected and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interventions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which can be planned to improve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the following: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Use the identified drivers to improve organic resurrection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Select interventions on cohorts having a better retention and engagement after resurrection</w:t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0"/>
          <w:szCs w:val="20"/>
          <w:rtl w:val="0"/>
        </w:rPr>
        <w:t xml:space="preserve">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5% of ~5.4M Inactive &amp; Churning merchants resurrect MoM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This PRD outlines an approach to analyzing the behavior of the merchants so we can design approaches to better retain these resurrected merchants and resurrect more inactive/churning merchants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200" w:lineRule="auto"/>
        <w:rPr>
          <w:rFonts w:ascii="Google Sans" w:cs="Google Sans" w:eastAsia="Google Sans" w:hAnsi="Google Sans"/>
          <w:b w:val="1"/>
          <w:color w:val="4285f4"/>
          <w:sz w:val="20"/>
          <w:szCs w:val="20"/>
        </w:rPr>
      </w:pPr>
      <w:bookmarkStart w:colFirst="0" w:colLast="0" w:name="_n94436k6fcqt" w:id="1"/>
      <w:bookmarkEnd w:id="1"/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0"/>
          <w:szCs w:val="20"/>
          <w:rtl w:val="0"/>
        </w:rPr>
        <w:t xml:space="preserve">What will we analyze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WHICH merchants resurrect? - Profile of resurrected merchants by different features (Vintage, Length of inactivity, Gpay/Comp USer %, FOS/Organic, Txn Intensity, Geos, Categories, Reward-seeking behavior, faced stuck-settlement/failure etc.)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Analytics </w:t>
      </w: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0"/>
          <w:szCs w:val="20"/>
          <w:rtl w:val="0"/>
        </w:rPr>
        <w:t xml:space="preserve">: </w:t>
      </w:r>
      <w:hyperlink r:id="rId9">
        <w:r w:rsidDel="00000000" w:rsidR="00000000" w:rsidRPr="00000000">
          <w:rPr>
            <w:rFonts w:ascii="Google Sans" w:cs="Google Sans" w:eastAsia="Google Sans" w:hAnsi="Google Sans"/>
            <w:b w:val="1"/>
            <w:color w:val="1155cc"/>
            <w:sz w:val="20"/>
            <w:szCs w:val="20"/>
            <w:u w:val="single"/>
            <w:rtl w:val="0"/>
          </w:rPr>
          <w:t xml:space="preserve">Data 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Length of inactivity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Size of merchant : Txns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, Ticket size, #Unique payers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Categories - Groceries, Utility Services, Hardware Stores etc.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Location - Geo state 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Acquisition channel: Self sign up vs FOS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Vintage - days since signup (New vs. Old)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Resurrected n times during last 6 months: SWINGERS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3months MTMs before turning inactive 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b7b7b7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b7b7b7"/>
          <w:sz w:val="20"/>
          <w:szCs w:val="20"/>
          <w:rtl w:val="0"/>
        </w:rPr>
        <w:t xml:space="preserve">Voice Notif adoption (feature adoption data not available)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Gpay/Comp Users composition 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Bad vs. Good actors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Presence of Comp QRs (Caveat: only for merchants identified in last 55 days)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Presence on Consumer app (Only last 55 days)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Behavior/Events before inactivity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5"/>
        </w:numPr>
        <w:ind w:left="288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%Stuck settlement txns</w:t>
      </w:r>
    </w:p>
    <w:p w:rsidR="00000000" w:rsidDel="00000000" w:rsidP="00000000" w:rsidRDefault="00000000" w:rsidRPr="00000000" w14:paraId="00000020">
      <w:pPr>
        <w:numPr>
          <w:ilvl w:val="3"/>
          <w:numId w:val="5"/>
        </w:numPr>
        <w:ind w:left="288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%failure txns (at txn level, not attempts)</w:t>
      </w:r>
    </w:p>
    <w:p w:rsidR="00000000" w:rsidDel="00000000" w:rsidP="00000000" w:rsidRDefault="00000000" w:rsidRPr="00000000" w14:paraId="00000021">
      <w:pPr>
        <w:numPr>
          <w:ilvl w:val="3"/>
          <w:numId w:val="5"/>
        </w:numPr>
        <w:ind w:left="288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If received rewards before going inactive</w:t>
      </w:r>
    </w:p>
    <w:p w:rsidR="00000000" w:rsidDel="00000000" w:rsidP="00000000" w:rsidRDefault="00000000" w:rsidRPr="00000000" w14:paraId="00000022">
      <w:pPr>
        <w:numPr>
          <w:ilvl w:val="3"/>
          <w:numId w:val="5"/>
        </w:numPr>
        <w:ind w:left="288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Raised a support ticket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commentRangeStart w:id="0"/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Notifs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/Comms (available only for 55 days)</w:t>
      </w: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 : Offer/non-offer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How many are resurrected by comp users vs. Gpay user?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Did they receive on consumer app while inactive on merchant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MECE/Non-MECE Cohorts </w:t>
      </w: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 - Based on key dimensions analyzed in WHICH section such as (Illustrative)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Length on inactivity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Bad/Good Actor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Stuck settlement %</w:t>
      </w:r>
    </w:p>
    <w:p w:rsidR="00000000" w:rsidDel="00000000" w:rsidP="00000000" w:rsidRDefault="00000000" w:rsidRPr="00000000" w14:paraId="0000002A">
      <w:pPr>
        <w:ind w:left="216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Potential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WHYs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to be tested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216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Interoperability: GPay Merchants receiving only via GPay users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216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First transaction by comp or Gpay user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216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Was their 1st txn an offer txn (Merchant)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216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Manual Ob calls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216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Notifis/Comms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216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Resurrected during PP/Paytm outage time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216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[P1] Only active during Offer month/period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216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Exclusions: Revisits (Not part of organic resurrection)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WHAT do merchants do after resurrecting?- Activity of resurrected merchants on different health metrics (such as retention after resurrection, Txn Intensity, App activity, L-ness etc.)</w:t>
      </w: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 by </w:t>
      </w: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MECE Cohorts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rFonts w:ascii="Google Sans" w:cs="Google Sans" w:eastAsia="Google Sans" w:hAnsi="Google Sans"/>
          <w:color w:val="11111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11111"/>
          <w:sz w:val="20"/>
          <w:szCs w:val="20"/>
          <w:rtl w:val="0"/>
        </w:rPr>
        <w:t xml:space="preserve">Performance Metrics</w:t>
      </w:r>
      <w:r w:rsidDel="00000000" w:rsidR="00000000" w:rsidRPr="00000000">
        <w:rPr>
          <w:rFonts w:ascii="Google Sans" w:cs="Google Sans" w:eastAsia="Google Sans" w:hAnsi="Google Sans"/>
          <w:b w:val="1"/>
          <w:color w:val="11111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 These metrics are based on the txn behavior of the merchants and will be used across uni/multi - feature level. </w:t>
        <w:tab/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M1 retention rate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M2 retention rate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M3 retention rate 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M3 txn intensity of merchant H/M/L 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% uplift Txn Intensity before churn vs. after resurrection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before="200" w:lineRule="auto"/>
        <w:rPr>
          <w:rFonts w:ascii="Google Sans" w:cs="Google Sans" w:eastAsia="Google Sans" w:hAnsi="Google Sans"/>
          <w:b w:val="1"/>
          <w:color w:val="4285f4"/>
          <w:sz w:val="20"/>
          <w:szCs w:val="20"/>
        </w:rPr>
      </w:pPr>
      <w:bookmarkStart w:colFirst="0" w:colLast="0" w:name="_dmz9dedkanux" w:id="2"/>
      <w:bookmarkEnd w:id="2"/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0"/>
          <w:szCs w:val="20"/>
          <w:rtl w:val="0"/>
        </w:rPr>
        <w:t xml:space="preserve">What outcomes do we expect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Increase resurrections in xx cohort for improved performance metrics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A particular cohort of resurrected merchants (lower txn intensity + low feature adoption) can retain better (xx%) by YY interventions (FOS revisits, Welcome Back offer, Push notif to open app etc.)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Which segment work best with important interventions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such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as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Rewards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Notifs/Comms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Revisits (already addressed in Revisits deep-dive)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Ob-Calls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Google Sans" w:cs="Google Sans" w:eastAsia="Google Sans" w:hAnsi="Google Sans"/>
          <w:color w:val="666666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sz w:val="20"/>
          <w:szCs w:val="20"/>
          <w:rtl w:val="0"/>
        </w:rPr>
        <w:t xml:space="preserve">Feature Adoption (already default on-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SMB V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oucher (If Gpay consumer is pulling resurrection)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Google Sans" w:cs="Google Sans" w:eastAsia="Google Sans" w:hAnsi="Google Sans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Google Sans" w:cs="Google Sans" w:eastAsia="Google Sans" w:hAnsi="Google Sans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rey Srivastava" w:id="0" w:date="2022-08-23T18:29:39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IMO, check the funnel on existing dashboards first to see if this would be meaningful. Querying GNP events is a bit complicated and may take longer than expected. IMO, increase the depth in others, and let go this feature.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yperlink" Target="https://docs.google.com/spreadsheets/d/1vpYkWo6Kgvpr0LnL9czPewZ6Ht-lZnikfZ5JzpKsvjY/edit#gid=1575416797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shivigarg@google.com" TargetMode="External"/><Relationship Id="rId8" Type="http://schemas.openxmlformats.org/officeDocument/2006/relationships/hyperlink" Target="mailto:morsakshi@goog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