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SUP-1419 — Pareto Summary: 100% vs. Less Than 100%</w:t>
      </w:r>
    </w:p>
    <w:p>
      <w:pPr>
        <w:spacing w:after="100"/>
      </w:pPr>
      <w:r>
        <w:t xml:space="preserve">"Contributions from Top 50% CCs" shows how much of total sales, margin, and units come from just the best-selling half of style-colors (CCs). Two examples below, pulled from QA, show what this looks like when the result is 100% and when it's below 100%.</w:t>
      </w:r>
    </w:p>
    <w:p>
      <w:pPr>
        <w:pStyle w:val="Heading1"/>
        <w:spacing w:after="80" w:before="220"/>
      </w:pPr>
      <w:r>
        <w:rPr>
          <w:b/>
          <w:bCs/>
        </w:rPr>
        <w:t xml:space="preserve">Example 1 — 100% (Total Brand scope)</w:t>
      </w:r>
    </w:p>
    <w:p>
      <w:pPr>
        <w:spacing w:after="100"/>
      </w:pPr>
      <w:r>
        <w:rPr>
          <w:i/>
          <w:iCs/>
          <w:color w:val="555555"/>
        </w:rPr>
        <w:t xml:space="preserve">Torrid, Total Brand, 2025-W10-Apr-W1 to 2025-W13-Apr-W4, flow status: All.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 50% CCs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R$ Sales %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FGM %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Unit Sales 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00"/>
      </w:pPr>
      <w:r>
        <w:t xml:space="preserve">Observed: all three numbers show 100%.</w:t>
      </w:r>
    </w:p>
    <w:p>
      <w:pPr>
        <w:pStyle w:val="Heading1"/>
        <w:spacing w:after="80" w:before="220"/>
      </w:pPr>
      <w:r>
        <w:rPr>
          <w:b/>
          <w:bCs/>
        </w:rPr>
        <w:t xml:space="preserve">Example 2 — Less than 100% (Belle Isle scope)</w:t>
      </w:r>
    </w:p>
    <w:p>
      <w:pPr>
        <w:spacing w:after="100"/>
      </w:pPr>
      <w:r>
        <w:rPr>
          <w:i/>
          <w:iCs/>
          <w:color w:val="555555"/>
        </w:rPr>
        <w:t xml:space="preserve">Torrid, Belle Isle, 2025-W10-Apr-W1 to 2025-W13-Apr-W4, flow status: All.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 50% CCs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R$ Sales %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FGM %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Unit Sales %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93%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93%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86%</w:t>
            </w:r>
          </w:p>
        </w:tc>
      </w:tr>
    </w:tbl>
    <w:p>
      <w:pPr>
        <w:spacing w:after="100"/>
      </w:pPr>
      <w:r>
        <w:t xml:space="preserve">Observed: the three numbers differ, and all are below 100%.</w:t>
      </w:r>
    </w:p>
    <w:p>
      <w:pPr>
        <w:spacing w:after="100"/>
      </w:pPr>
      <w:r>
        <w:rPr>
          <w:i/>
          <w:iCs/>
        </w:rPr>
        <w:t xml:space="preserve">In both cases, these numbers match what the performance bands below them show (Top 20% through Bottom 20%) — the calculation is behaving consistently in both examples. We have not found a scope yet where the numbers look wrong or inconsistent.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46d278412b99f1e490cf00e663ae3381f639b3.png"/><Relationship Id="rId8" Type="http://schemas.openxmlformats.org/officeDocument/2006/relationships/image" Target="media/85d513f60dc9fbef2c7533150a5ae894e389fe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2026-07-15T16:05:56.023Z</dcterms:created>
  <dcterms:modified xsi:type="dcterms:W3CDTF">2026-07-15T16:05:56.023Z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