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VIGNESH NEELAMEGAN</w:t>
      </w:r>
    </w:p>
    <w:p>
      <w:pPr>
        <w:spacing w:after="80"/>
      </w:pPr>
      <w:r>
        <w:rPr>
          <w:rFonts w:ascii="Arial" w:cs="Arial" w:eastAsia="Arial" w:hAnsi="Arial"/>
          <w:color w:val="0B1F3A"/>
          <w:sz w:val="22"/>
          <w:szCs w:val="22"/>
        </w:rPr>
        <w:t xml:space="preserve">Senior Product Owner | AI &amp; Digital Transformation | Regulatory Technology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Stevenage, United Kingdom  |  vigneshneelamegan@gmail.com  |  +44 07990 118211  |  linkedin.com/in/vigneshneelamegan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1607A"/>
          <w:sz w:val="18"/>
          <w:szCs w:val="18"/>
        </w:rPr>
        <w:t xml:space="preserve">Right to work: Requires Skilled Worker visa sponsorship for new UK roles (previously sponsored)</w:t>
      </w:r>
    </w:p>
    <w:p>
      <w:pPr>
        <w:pBdr>
          <w:bottom w:val="single" w:color="0B1F3A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PROFESSIONAL SUMMARY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Senior Product Owner with 14+ years of experience in product ownership, business analysis, and AI-enabled digital transformation across pharmaceutical, healthcare, logistics, and regulatory technology sectors. Proven track record automating regulatory reporting processes (60% of dynamic reports at GSK), delivering GxP-compliant SaaS platforms, and leading enterprise transformation programmes across five countries. Combines business analysis depth with product leadership and hands-on AI and automation use-case definition in highly regulated environments.</w:t>
      </w:r>
    </w:p>
    <w:p>
      <w:pPr>
        <w:pBdr>
          <w:bottom w:val="single" w:color="0B1F3A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CORE COMPETENCIES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Product Strategy &amp; Roadmapping  •  Backlog Management  •  AI &amp; Automation Use-Case Definition  •  GxP Compliance &amp; Validation  •  Business Analysis &amp; Requirements Engineering  •  Stakeholder Management  •  Agile/Scrum &amp; SAFe Delivery  •  Change Control &amp; Audit Readiness  •  Figma Prototyping  •  Power BI  •  JIRA  •  Confluence</w:t>
      </w:r>
    </w:p>
    <w:p>
      <w:pPr>
        <w:pBdr>
          <w:bottom w:val="single" w:color="0B1F3A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PROFESSIONAL EXPERIENCE</w:t>
      </w:r>
    </w:p>
    <w:p>
      <w:pPr>
        <w:spacing w:after="1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Product Owner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Tata Consultancy Services (client: GSK) — Stevenage, United Kingdom</w:t>
      </w:r>
      <w:r>
        <w:rPr>
          <w:rFonts w:ascii="Arial" w:cs="Arial" w:eastAsia="Arial" w:hAnsi="Arial"/>
          <w:color w:val="51607A"/>
          <w:sz w:val="20"/>
          <w:szCs w:val="20"/>
        </w:rPr>
        <w:t xml:space="preserve">   |   November 2023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Automated 60% of dynamic and 25% of static regulatory reports using AI-assisted content generation and rule-based authoring, reducing manual effort and compliance risk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Led discovery across Regulatory Affairs, Clinical, Quality, and Safety functions using empathy mapping, fishbone analysis, and journey mapping to define the future-state regulatory reporting operating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Defined and prioritised AI use cases against GxP validation, explainability, and audit-readiness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Built high-fidelity Figma prototypes to validate workflows early and reduce stakeholder rework; produced Power BI dashboards for planning and dependency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Produced GxP-compliant documentation (URS, SRS, system design) and maintained RACI and risk logs supporting a reusable regression automation framework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Evaluated SaaS platforms and defined multi-year roadmaps, budgets, and milestones for regulatory technology investment</w:t>
      </w:r>
    </w:p>
    <w:p>
      <w:pPr>
        <w:spacing w:after="1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Product Owner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Tata Consultancy Services (client: GSK) — Bengaluru, India</w:t>
      </w:r>
      <w:r>
        <w:rPr>
          <w:rFonts w:ascii="Arial" w:cs="Arial" w:eastAsia="Arial" w:hAnsi="Arial"/>
          <w:color w:val="51607A"/>
          <w:sz w:val="20"/>
          <w:szCs w:val="20"/>
        </w:rPr>
        <w:t xml:space="preserve">   |   April 2021 – October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Defined product vision, roadmap, and backlog for a global Clinical Trial Supply transformation spanning planning, forecasting, packaging/labelling, and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Replaced legacy clinical supply systems with an integrated, validated SaaS platform, improving visibility and control across manufacturing, packaging, warehousing, and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Led integration design across IRT/RTSM and internal enterprise systems, ensuring GxP-aligned data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Facilitated global workshops with subject-matter experts, architects, Quality, and Validation teams to align priorities and close requirement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Delivered training, SOPs, and change management materials supporting cutover with no disruption to active clinical trials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Recognised by TCS as a "Contextual Master" (2022) for the clinical trial supply chain rollout</w:t>
      </w:r>
    </w:p>
    <w:p>
      <w:pPr>
        <w:spacing w:after="1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Product Owner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Ramco Systems (client: CKB Logistics, Indonesia) — Chennai, India</w:t>
      </w:r>
      <w:r>
        <w:rPr>
          <w:rFonts w:ascii="Arial" w:cs="Arial" w:eastAsia="Arial" w:hAnsi="Arial"/>
          <w:color w:val="51607A"/>
          <w:sz w:val="20"/>
          <w:szCs w:val="20"/>
        </w:rPr>
        <w:t xml:space="preserve">   |   November 2020 – April 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Delivered a Transportation Management Solution fully remotely during the COVID-19 pandemic, on a compressed delivery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Introduced mobile-based order booking, automated fleet management, and compliance-driven driver safety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Contributed to a 25% increase in customer bookings and 15% revenue growth within six months of go-live</w:t>
      </w:r>
    </w:p>
    <w:p>
      <w:pPr>
        <w:spacing w:after="1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Product Owner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Accenture — Bengaluru, India</w:t>
      </w:r>
      <w:r>
        <w:rPr>
          <w:rFonts w:ascii="Arial" w:cs="Arial" w:eastAsia="Arial" w:hAnsi="Arial"/>
          <w:color w:val="51607A"/>
          <w:sz w:val="20"/>
          <w:szCs w:val="20"/>
        </w:rPr>
        <w:t xml:space="preserve">   |   February 2018 – October 2020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Took ownership of a US public-sector healthcare benefits platform facing delivery delays and quality issues; introduced structured Agile practices, stronger QA, and clearer governance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Delivered new benefits programmes (TANF, Medicaid, Medicare, SNAP, Child Care) across multiple US states, improving service accessibility for millions of citizens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Applied Design Thinking, customer journey mapping, and persona analysis to improve product relevance and service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Stabilised delivery predictability and quality, directly contributing to the client awarding additional work to the team</w:t>
      </w:r>
    </w:p>
    <w:p>
      <w:pPr>
        <w:spacing w:after="1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Business Analyst → Senior Business Analyst → Product Owner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MSC Mediterranean Shipping Company — Chennai, India</w:t>
      </w:r>
      <w:r>
        <w:rPr>
          <w:rFonts w:ascii="Arial" w:cs="Arial" w:eastAsia="Arial" w:hAnsi="Arial"/>
          <w:color w:val="51607A"/>
          <w:sz w:val="20"/>
          <w:szCs w:val="20"/>
        </w:rPr>
        <w:t xml:space="preserve">   |   August 2012 – January 2018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Progressed from Business Analyst to Product Owner over 5.5 years across four international ERP implementations (Georgia, Cambodia, Djibouti, South Africa)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Led global analysis for MSC's Unified Global Platform initiative, standardising processes and workflows across regions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Owned the Intermodal Transportation workstream (2016–2018), defining product vision and roadmap for a global road/rail/barge transportation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Contributed to 20–30% revenue growth through improved resource utilisation and modernised, integrated shipping operations</w:t>
      </w:r>
    </w:p>
    <w:p>
      <w:pPr>
        <w:pBdr>
          <w:bottom w:val="single" w:color="0B1F3A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EDUCATION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Master of Business Administration (MBA), Information Technology</w:t>
      </w:r>
      <w:r>
        <w:rPr>
          <w:rFonts w:ascii="Arial" w:cs="Arial" w:eastAsia="Arial" w:hAnsi="Arial"/>
          <w:color w:val="51607A"/>
          <w:sz w:val="20"/>
          <w:szCs w:val="20"/>
        </w:rPr>
        <w:t xml:space="preserve">  —  Annamalai University  (2021 – 2023)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Engineering (B.E.), Electrical, Electronics &amp; Communications Engineering</w:t>
      </w:r>
      <w:r>
        <w:rPr>
          <w:rFonts w:ascii="Arial" w:cs="Arial" w:eastAsia="Arial" w:hAnsi="Arial"/>
          <w:color w:val="51607A"/>
          <w:sz w:val="20"/>
          <w:szCs w:val="20"/>
        </w:rPr>
        <w:t xml:space="preserve">  —  Anna University, First Class  (2007 – 2011)</w:t>
      </w:r>
    </w:p>
    <w:p>
      <w:pPr>
        <w:pBdr>
          <w:bottom w:val="single" w:color="0B1F3A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CERTIFICATIONS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BCS Practitioner Certificate in Business Analysis Practice</w:t>
      </w:r>
      <w:r>
        <w:rPr>
          <w:rFonts w:ascii="Arial" w:cs="Arial" w:eastAsia="Arial" w:hAnsi="Arial"/>
          <w:color w:val="51607A"/>
          <w:sz w:val="20"/>
          <w:szCs w:val="20"/>
        </w:rPr>
        <w:t xml:space="preserve">  —  BCS, The Chartered Institute for IT  (2026)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Certified SAFe® 5 Practitioner</w:t>
      </w:r>
      <w:r>
        <w:rPr>
          <w:rFonts w:ascii="Arial" w:cs="Arial" w:eastAsia="Arial" w:hAnsi="Arial"/>
          <w:color w:val="51607A"/>
          <w:sz w:val="20"/>
          <w:szCs w:val="20"/>
        </w:rPr>
        <w:t xml:space="preserve">  —  Scaled Agile, Inc.  (2021)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Certified Scrum Product Owner (CSPO)</w:t>
      </w:r>
      <w:r>
        <w:rPr>
          <w:rFonts w:ascii="Arial" w:cs="Arial" w:eastAsia="Arial" w:hAnsi="Arial"/>
          <w:color w:val="51607A"/>
          <w:sz w:val="20"/>
          <w:szCs w:val="20"/>
        </w:rPr>
        <w:t xml:space="preserve">  —  Scrum Alliance  (2019)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2026-09-21T13:05:06.531Z</dcterms:created>
  <dcterms:modified xsi:type="dcterms:W3CDTF">2026-09-21T13:05:06.544Z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