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MemoryWatch — Week 6 Working Draft (Prachin)</w:t>
      </w:r>
    </w:p>
    <w:p>
      <w:pPr>
        <w:spacing w:after="300"/>
      </w:pPr>
      <w:r>
        <w:rPr>
          <w:i/>
          <w:iCs/>
        </w:rPr>
        <w:t xml:space="preserve">Classical Model Report Section Outline + Integration/Demo Checklist</w:t>
      </w:r>
    </w:p>
    <w:p>
      <w:pPr>
        <w:spacing w:after="120"/>
      </w:pPr>
      <w:r>
        <w:rPr>
          <w:i/>
          <w:iCs/>
        </w:rPr>
        <w:t xml:space="preserve">This is a working outline, not finished submission text. Bullet points are prompts to write full sentences from — not paste-ready prose. Fill each section in your own words before it goes into the merged report.</w:t>
      </w:r>
    </w:p>
    <w:p>
      <w:pPr>
        <w:pStyle w:val="Heading1"/>
        <w:spacing w:after="150" w:before="300"/>
      </w:pPr>
      <w:r>
        <w:t xml:space="preserve">5.x  Classical Model — Isolation Forest with Dynamic Thresholding</w:t>
      </w:r>
    </w:p>
    <w:p>
      <w:pPr>
        <w:pStyle w:val="Heading2"/>
        <w:spacing w:after="100" w:before="200"/>
      </w:pPr>
      <w:r>
        <w:t xml:space="preserve">1. Purpose / role in the pipeline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 the classical layer does: unsupervised anomaly detection on process behaviour features.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Why it exists as the baseline the quantum layer is compared against.</w:t>
      </w:r>
    </w:p>
    <w:p>
      <w:pPr>
        <w:pStyle w:val="Heading2"/>
        <w:spacing w:after="100" w:before="200"/>
      </w:pPr>
      <w:r>
        <w:t xml:space="preserve">2.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Model: sklearn.ensemble.IsolationForest, trained unsupervised on normal-only data — no attack labels touch .fit().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design: fit(X) → score(X) → predict(X).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sklearn's raw {-1,1} convention flipped to {0,1}; score sign flipped so higher = more anomalous.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Explain why: more intuitive for downstream FPR/recall/AUROC reporting.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agreed against the team's shared model contract (Week 2) so it plugs into the same evaluation harness as the quantum layer.</w:t>
      </w:r>
    </w:p>
    <w:p>
      <w:pPr>
        <w:pStyle w:val="Heading2"/>
        <w:spacing w:after="100" w:before="200"/>
      </w:pPr>
      <w:r>
        <w:t xml:space="preserve">3. Dynamic thresholding (key design decision)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State the problem: a single global threshold either misses attacks in "quiet" process classes or floods analysts with noise from "noisy" ones.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Solution: per-group threshold = mean + k·std of that group's own anomaly-score distribution, computed only from normal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Cite Shamim et al. (2023) directly — their 0.86% FPR result from per-process dynamic thresholds is the grounding for this design.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 fallback behaviour for unseen groups at inference time (defensive design point).</w:t>
      </w:r>
    </w:p>
    <w:p>
      <w:pPr>
        <w:pStyle w:val="Heading2"/>
        <w:spacing w:after="100" w:before="200"/>
      </w:pPr>
      <w:r>
        <w:t xml:space="preserve">4. Validation approach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Dedicated unit test suite: 14 tests covering fit/score/predict correctness, dynamic threshold correctness, error handling for misuse, reproducibility.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Score-range finding: scores are not bounded to a fixed interval — this justified a data-driven threshold rather than a hardcoded cutoff.</w:t>
      </w:r>
    </w:p>
    <w:p>
      <w:pPr>
        <w:pStyle w:val="Heading2"/>
        <w:spacing w:after="100" w:before="200"/>
      </w:pPr>
      <w:r>
        <w:t xml:space="preserve">5. Threshold tuning (FPR vs Recall trade-off)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Describe the sweep over k and include the results table.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State the chosen operating point and why — e.g. k=3.0 achieves zero false positives while retaining high recall, aligning with Layman &amp; Roden's (2023) finding that high FPR disproportionately degrades analyst performance.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IMPORTANT — flag before submission: current numbers come from synthetic toy data, not UNSW-NB15. Rerun the same sweep on Ghita's real preprocessed data and swap in the real table before this goes in the final report.</w:t>
      </w:r>
    </w:p>
    <w:p>
      <w:pPr>
        <w:pStyle w:val="Heading2"/>
        <w:spacing w:after="100" w:before="200"/>
      </w:pPr>
      <w:r>
        <w:t xml:space="preserve">6. Limitations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Toy-data caveat (until real data is substituted).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 was tuned on this dataset's synthetic variance structure — may need retuning once real feature distributions are known.</w:t>
      </w:r>
    </w:p>
    <w:p>
      <w:pPr>
        <w:pStyle w:val="Heading1"/>
        <w:spacing w:after="150" w:before="300"/>
      </w:pPr>
      <w:r>
        <w:t xml:space="preserve">Integration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 classical_detector.py is import-ready for the merged entry point: no hardcoded paths or toy-data generation inside the class itself (only inside __main__-guarded blocks).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Once Ghita's real preprocessed UNSW-NB15 arrays exist, dry-run fit() → score() → predict_dynamic() against them. Watch for: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Wrong dtype (object arrays from leftover categorical columns)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NaNs slipping through preprocessing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Confirming what UNSW-NB15 column actually stands in as "process class" — not yet resolved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 Vignesh's harness expects the same output shapes already produced: scores as (n,) float array, y_pred as (n,) binary array.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Prepare short rehearsed answers for: why dynamic threshold instead of global? why these four metrics, not accuracy? what's the chosen k and why?</w:t>
      </w:r>
    </w:p>
    <w:p>
      <w:pPr>
        <w:pStyle w:val="Heading1"/>
        <w:spacing w:after="150" w:before="300"/>
      </w:pPr>
      <w:r>
        <w:t xml:space="preserve">Demo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Have the evaluation_harness.py tuning table ready to show live or as a saved output.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State the toy-data caveat proactively rather than waiting to be asked.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Good answer ready for "what would you change with more time?": retune k on real data, and pin down the real 'process class' grouping variable in UNSW-NB15.</w:t>
      </w:r>
    </w:p>
    <w:p>
      <w:pPr>
        <w:pStyle w:val="Heading1"/>
        <w:spacing w:after="150" w:before="300"/>
      </w:pPr>
      <w:r>
        <w:t xml:space="preserve">References</w:t>
      </w:r>
    </w:p>
    <w:p>
      <w:pPr>
        <w:spacing w:after="120"/>
      </w:pPr>
      <w:r>
        <w:t xml:space="preserve">Chua, W., Huang, X., Liang, Z., Sun, T., Wei, Y., &amp; Xu, Y. (2024). Web traffic anomaly detection using Isolation Forest. Informatics, 11(4), 83. https://www.mdpi.com/2227-9709/11/4/83</w:t>
      </w:r>
    </w:p>
    <w:p>
      <w:pPr>
        <w:spacing w:after="120"/>
      </w:pPr>
      <w:r>
        <w:t xml:space="preserve">Goldschmidt, P., &amp; Chudá, D. (2025). Network intrusion datasets: A survey, limitations, and recommendations. Computers and Security, 156, 104501. https://arxiv.org/abs/2502.06688</w:t>
      </w:r>
    </w:p>
    <w:p>
      <w:pPr>
        <w:spacing w:after="120"/>
      </w:pPr>
      <w:r>
        <w:t xml:space="preserve">Layman, L., &amp; Roden, W. (2023). A controlled experiment on the impact of intrusion detection false alarm rate on analyst performance. Proceedings of the Human Factors and Ergonomics Society Annual Meeting, 67(1), 220–225. https://arxiv.org/abs/2307.07023</w:t>
      </w:r>
    </w:p>
    <w:p>
      <w:pPr>
        <w:spacing w:after="120"/>
      </w:pPr>
      <w:r>
        <w:t xml:space="preserve">Moustafa, N., &amp; Slay, J. (2015). UNSW-NB15: A comprehensive data set for network intrusion detection systems. In Proceedings of the Military Communications and Information Systems Conference (pp. 1–6). https://research.unsw.edu.au/projects/unsw-nb15-dataset</w:t>
      </w:r>
    </w:p>
    <w:p>
      <w:pPr>
        <w:spacing w:after="120"/>
      </w:pPr>
      <w:r>
        <w:t xml:space="preserve">Shamim, N., Asim, M., Baker, T., &amp; Awad, A. I. (2023). Efficient approach for anomaly detection in IoT using system calls. Sensors, 23(2), 652. https://www.mdpi.com/1424-8220/23/2/652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2026-07-01T10:57:17.429Z</dcterms:created>
  <dcterms:modified xsi:type="dcterms:W3CDTF">2026-07-01T10:57:17.430Z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