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360"/>
        <w:jc w:val="center"/>
      </w:pPr>
      <w:r>
        <w:rPr>
          <w:rFonts w:ascii="Times New Roman" w:hAnsi="Times New Roman"/>
          <w:b/>
          <w:sz w:val="32"/>
        </w:rPr>
        <w:t>ABSTRACT</w:t>
      </w:r>
    </w:p>
    <w:p>
      <w:pPr>
        <w:spacing w:line="360" w:lineRule="auto" w:after="120"/>
        <w:jc w:val="both"/>
      </w:pPr>
      <w:r>
        <w:rPr>
          <w:rFonts w:ascii="Times New Roman" w:hAnsi="Times New Roman"/>
          <w:sz w:val="24"/>
        </w:rPr>
        <w:t>The ResQLink Community Disaster Relief &amp; Emergency Response Platform is an enterprise-grade, web-based incident dispatch and humanitarian coordination system developed to simplify, organize, and accelerate rescue activities during severe floods, cyclones, and environmental crises. During natural calamities, conventional emergency channels suffer from cellular network congestion, unverified social media misinformation, and disconnected ground rescue teams. Distressed citizens face severe delays in communicating their precise location, while rescue volunteers struggle to identify which calls are authenticated and within their operational vicinity. To overcome these critical challenges, the proposed system provides a centralized digital platform that enables users to manage emergency rescue calls, volunteer assignments, government operations, and relief shelter logistics efficiently. The application is developed using the MERN stack, which includes MongoDB, Express.js, React.js, and Node.js. MongoDB with GeoJSON 2dsphere indexing is used for geospatial data storage, Express.js and Node.js handle server-side operations and REST API routing, and React.js with TypeScript and Tailwind CSS provides an interactive, high-contrast, user-friendly interface. The system incorporates specialized portals for four distinct operational roles: Citizens, Certified Rescue Volunteers, Government Emergency Operations Centers (EOC / SDMA), and Logistics Resource Providers. Through the Citizen Portal, users can submit emergency reports across five essential categories (Rescue, Medical, Food, Water, Shelter), acquire automatic latitude and longitude coordinates using a resilient multi-tier geolocation detector, and queue distress calls offline using local storage idempotency keys. The Volunteer Console empowers certified rescuers to configure their service radius (in kilometers), track active mission lifecycles, log blocker updates, summon emergency squad reinforcements, and review verified Task History with live rescued metrics. The Government EOC Command Room provides institutional commanders with an interactive Leaflet GIS spatial heatmap of affected sectors, multi-parameter triage filters, automated SLA breach escalation alerts, and formal mission closeout auditing. Relief Camps monitoring calculates real-time shelter capacity, free occupancy spaces, and verifies on-site food and clinic amenities. Overall, the ResQLink project establishes an accessible, accountable, and fault-tolerant digital bridge between victims and emergency responders, minimizing rescue turnaround latency and elevating community disaster resilience.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