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Outline for Review Paper: "Unresolved Questions in Subtype-Specific and Non-Smoking NSCLC: A Multi-Omics Perspective"</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1.</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b w:val="1"/>
          <w:bCs w:val="1"/>
          <w:sz w:val="29"/>
          <w:szCs w:val="29"/>
          <w:rtl w:val="0"/>
        </w:rPr>
        <w:t xml:space="preserve">Introduction</w:t>
      </w:r>
    </w:p>
    <w:p w:rsidR="00000000" w:rsidDel="00000000" w:rsidP="00000000" w:rsidRDefault="00000000" w:rsidRPr="00000000" w14:paraId="00000003">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Lung cancer burden, NSCLC accounting for ~85%.</w:t>
      </w:r>
    </w:p>
    <w:p w:rsidR="00000000" w:rsidDel="00000000" w:rsidP="00000000" w:rsidRDefault="00000000" w:rsidRPr="00000000" w14:paraId="0000000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Distinction between LUAD (adenocarcinoma) and LUSC (squamous).</w:t>
      </w:r>
    </w:p>
    <w:p w:rsidR="00000000" w:rsidDel="00000000" w:rsidP="00000000" w:rsidRDefault="00000000" w:rsidRPr="00000000" w14:paraId="0000000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Rise of NSCLC in non-smokers (environmental, occupational, genetic, epigenetic factors).</w:t>
      </w:r>
    </w:p>
    <w:p w:rsidR="00000000" w:rsidDel="00000000" w:rsidP="00000000" w:rsidRDefault="00000000" w:rsidRPr="00000000" w14:paraId="0000000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challenges: survival outcomes remain poor; therapies often one-size-fits-all.</w:t>
      </w:r>
    </w:p>
    <w:p w:rsidR="00000000" w:rsidDel="00000000" w:rsidP="00000000" w:rsidRDefault="00000000" w:rsidRPr="00000000" w14:paraId="00000007">
      <w:pPr>
        <w:numPr>
          <w:ilvl w:val="0"/>
          <w:numId w:val="1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Limited integrative approaches across subtypes, sex, and smoking status.</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2.</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b w:val="1"/>
          <w:bCs w:val="1"/>
          <w:sz w:val="29"/>
          <w:szCs w:val="29"/>
          <w:rtl w:val="0"/>
        </w:rPr>
        <w:t xml:space="preserve">Molecular Heterogeneity in NSCLC Subtypes</w:t>
      </w:r>
    </w:p>
    <w:p w:rsidR="00000000" w:rsidDel="00000000" w:rsidP="00000000" w:rsidRDefault="00000000" w:rsidRPr="00000000" w14:paraId="00000009">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alterations: </w:t>
      </w:r>
      <w:r w:rsidDel="00000000" w:rsidR="00000000" w:rsidRPr="00000000">
        <w:rPr>
          <w:rFonts w:ascii="Times New Roman" w:cs="Times New Roman" w:eastAsia="Times New Roman" w:hAnsi="Times New Roman"/>
          <w:i w:val="1"/>
          <w:iCs w:val="1"/>
          <w:sz w:val="24"/>
          <w:szCs w:val="24"/>
          <w:rtl w:val="0"/>
        </w:rPr>
        <w:t xml:space="preserve">TP53, EGFR, KRAS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Subtype distinctions: LUAD</w:t>
      </w:r>
      <w:r w:rsidDel="00000000" w:rsidR="00000000" w:rsidRPr="00000000">
        <w:rPr>
          <w:rFonts w:ascii="Times New Roman" w:cs="Times New Roman" w:eastAsia="Times New Roman" w:hAnsi="Times New Roman"/>
          <w:i w:val="1"/>
          <w:iCs w:val="1"/>
          <w:sz w:val="24"/>
          <w:szCs w:val="24"/>
          <w:rtl w:val="0"/>
        </w:rPr>
        <w:t xml:space="preserve"> (TTN, EGFR), </w:t>
      </w:r>
      <w:r w:rsidDel="00000000" w:rsidR="00000000" w:rsidRPr="00000000">
        <w:rPr>
          <w:rFonts w:ascii="Times New Roman" w:cs="Times New Roman" w:eastAsia="Times New Roman" w:hAnsi="Times New Roman"/>
          <w:sz w:val="24"/>
          <w:szCs w:val="24"/>
          <w:rtl w:val="0"/>
        </w:rPr>
        <w:t xml:space="preserve">LUSC</w:t>
      </w:r>
      <w:r w:rsidDel="00000000" w:rsidR="00000000" w:rsidRPr="00000000">
        <w:rPr>
          <w:rFonts w:ascii="Times New Roman" w:cs="Times New Roman" w:eastAsia="Times New Roman" w:hAnsi="Times New Roman"/>
          <w:i w:val="1"/>
          <w:iCs w:val="1"/>
          <w:sz w:val="24"/>
          <w:szCs w:val="24"/>
          <w:rtl w:val="0"/>
        </w:rPr>
        <w:t xml:space="preserve"> (ZAN, FGFR1, SOX2</w:t>
      </w:r>
      <w:r w:rsidDel="00000000" w:rsidR="00000000" w:rsidRPr="00000000">
        <w:rPr>
          <w:rFonts w:ascii="Times New Roman" w:cs="Times New Roman" w:eastAsia="Times New Roman" w:hAnsi="Times New Roman"/>
          <w:sz w:val="24"/>
          <w:szCs w:val="24"/>
          <w:rtl w:val="0"/>
        </w:rPr>
        <w:t xml:space="preserve"> amplifications).</w:t>
      </w:r>
    </w:p>
    <w:p w:rsidR="00000000" w:rsidDel="00000000" w:rsidP="00000000" w:rsidRDefault="00000000" w:rsidRPr="00000000" w14:paraId="0000000B">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Inconsistent reporting of subtype-specific drivers in non-smokers vs smokers.</w:t>
      </w:r>
    </w:p>
    <w:p w:rsidR="00000000" w:rsidDel="00000000" w:rsidP="00000000" w:rsidRDefault="00000000" w:rsidRPr="00000000" w14:paraId="0000000C">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Underrepresentation of gender/sex differences in mutational landscapes (e.g., estrogen receptor regulation in female LUSC).</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9"/>
          <w:szCs w:val="29"/>
          <w:highlight w:val="yellow"/>
        </w:rPr>
      </w:pPr>
      <w:r w:rsidDel="00000000" w:rsidR="00000000" w:rsidRPr="00000000">
        <w:rPr>
          <w:rFonts w:ascii="Times New Roman" w:cs="Times New Roman" w:eastAsia="Times New Roman" w:hAnsi="Times New Roman"/>
          <w:b w:val="1"/>
          <w:bCs w:val="1"/>
          <w:sz w:val="29"/>
          <w:szCs w:val="29"/>
          <w:highlight w:val="yellow"/>
          <w:rtl w:val="0"/>
        </w:rPr>
        <w:t xml:space="preserve">3.</w:t>
      </w:r>
      <w:r w:rsidDel="00000000" w:rsidR="00000000" w:rsidRPr="00000000">
        <w:rPr>
          <w:rFonts w:ascii="Times New Roman" w:cs="Times New Roman" w:eastAsia="Times New Roman" w:hAnsi="Times New Roman"/>
          <w:sz w:val="16"/>
          <w:szCs w:val="16"/>
          <w:highlight w:val="yellow"/>
          <w:rtl w:val="0"/>
        </w:rPr>
        <w:t xml:space="preserve">     </w:t>
      </w:r>
      <w:r w:rsidDel="00000000" w:rsidR="00000000" w:rsidRPr="00000000">
        <w:rPr>
          <w:rFonts w:ascii="Times New Roman" w:cs="Times New Roman" w:eastAsia="Times New Roman" w:hAnsi="Times New Roman"/>
          <w:b w:val="1"/>
          <w:bCs w:val="1"/>
          <w:sz w:val="29"/>
          <w:szCs w:val="29"/>
          <w:highlight w:val="yellow"/>
          <w:rtl w:val="0"/>
        </w:rPr>
        <w:t xml:space="preserve">Environmental and Epigenetic Influences</w:t>
      </w:r>
    </w:p>
    <w:p w:rsidR="00000000" w:rsidDel="00000000" w:rsidP="00000000" w:rsidRDefault="00000000" w:rsidRPr="00000000" w14:paraId="0000000E">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Non-smoking risk factors: air pollution, radon, and occupational exposures.</w:t>
      </w:r>
    </w:p>
    <w:p w:rsidR="00000000" w:rsidDel="00000000" w:rsidP="00000000" w:rsidRDefault="00000000" w:rsidRPr="00000000" w14:paraId="0000000F">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 dysregulation: DNA methylation profiles linking impaired lung function with cancer susceptibility</w:t>
      </w:r>
    </w:p>
    <w:p w:rsidR="00000000" w:rsidDel="00000000" w:rsidP="00000000" w:rsidRDefault="00000000" w:rsidRPr="00000000" w14:paraId="00000010">
      <w:pPr>
        <w:numPr>
          <w:ilvl w:val="0"/>
          <w:numId w:val="1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Few studies connect early-life or environmental exposures with subtype-specific epigenomic changes.</w:t>
      </w:r>
    </w:p>
    <w:p w:rsidR="00000000" w:rsidDel="00000000" w:rsidP="00000000" w:rsidRDefault="00000000" w:rsidRPr="00000000" w14:paraId="0000001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additional contributors beyond the well-established environmental risk factors for non-small cell lung cancer (NSCLC) in non-smokers, such as radon, ambient air pollution (e.g., PM2.5 and diesel exhaust), and occupational exposures (e.g., asbestos, silica, and heavy metals). These contributors play a significant role in elevating disease susceptibility, often through synergistic interactions. These interactions warrant deeper investigation in subtype-specific contexts. </w:t>
      </w:r>
    </w:p>
    <w:p w:rsidR="00000000" w:rsidDel="00000000" w:rsidP="00000000" w:rsidRDefault="00000000" w:rsidRPr="00000000" w14:paraId="0000001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Secondhand tobacco smoke (environmental tobacco smoke or ETS)  increases lung cancer risk among never-smokers, with meta-analyses reporting odds ratios ranging from 1.2 to 1.69, particularly in prolonged household or workplace settings. Indoor pollutants further exacerbate this vulnerability, including cooking fumes from cooking methods like deep-frying or stir-frying and solid fuel combustion (e.g., coal or biomass for heating and cooking), which had a disproportionate impact on non-smoking women in regions like Asia due to high polycyclic aromatic hydrocarbon (PAH) exposure and have been linked to up to 99-fold increased risk in extreme cases like smoky coal use. </w:t>
      </w:r>
    </w:p>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Lifestyle factors such as diets high in cholesterol and red meat, sedentary habits, and low body mass index (BMI) can interact with environmental exposures to heighten oxidative stress and inflammation, increasing NSCLC risk by an estimated 20 to 40 percent in affected populations. Other pollutants that are on the rise, such as formaldehyde, cadmium, styrene, benzene, talc, and per- and polyfluoroalkyl substances (PFAS), contribute to health risks through bioaccumulation and genomic instability, with evidence linking them to increased lung cancer incidence in exposed communities. These factors differ across NSCLC subtypes, with most non-smoking cases presenting as lung adenocarcinoma (LUAD), which accounts for up to 86 percent of such cases. Lung squamous cell carcinoma (LUSC), on the other hand, is more strongly associated with smoking history. Ethnic patterns show higher rates among East Asians and women, often linked to genetic alterations such as EGFR and ALK mutations in never-smokers, as well as to inflammatory conditions like COPD or prenatal exposures that may increase susceptibility to oncogenesis.</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Expanding on DNA methylation as a primary epigenetic mechanism—marked by hypermethylation of tumor suppressors such as CDKN2A, MGMT, RASSF1, RARB, DAPK, WIF1, and FHIT, alongside hypomethylation of genes like F2RL3 and AHRR in response to PAHs and PM2.5—the epigenetic landscape in NSCLC encompasses broader modifications that mediate environmental insults and disease progression, particularly in non-smokers with impaired lung function. Histone modifications, including the downregulation of Kdm6a, lead to imbalances in H3K4 and H3K9 methylation, as well as reduced histone deacetylase (HDAC) activity, which disrupts H4 acetylation. These alterations in chromatin structure and gene expression in pollutant-exposed lung cells contribute to the development of oncogenic pathways. Non-coding RNAs, especially microRNAs (miRNAs) such as downregulated miR-144, miR-218, miR-21, miR-126-3p, and miR-155, exhibit persistent dysregulation following exposure, promoting processes like epithelial-mesenchymal transition (EMT) induced by smoky coal pollutants and enhancing tumor invasiveness in conditions like COPD. Despite these insights, key gaps persist, including biases toward homogeneous study populations (e.g., adult males in occupational settings) that limit generalizability; insufficient multi-omics integration beyond genomics, such as incorporating transcriptomics and proteomics to validate epigenetic impacts; and the need for biomarker-based exposure assessments, long-term cohort studies, and exposome frameworks to address confounders like age, gender, and ancestry. Moreover, understudied pathways, such as PM2.5-induced reactive oxygen species (ROS)-Akt-DNMT3B signaling leading to p53 hypermethylation, represent opportunities for mechanistic research to guide subtype-specific prevention and therapeutic strategies in diverse NSCLC populations.</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4.</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b w:val="1"/>
          <w:bCs w:val="1"/>
          <w:sz w:val="29"/>
          <w:szCs w:val="29"/>
          <w:rtl w:val="0"/>
        </w:rPr>
        <w:t xml:space="preserve">Multi-Omics Integration for Subtype Characterization</w:t>
      </w:r>
    </w:p>
    <w:p w:rsidR="00000000" w:rsidDel="00000000" w:rsidP="00000000" w:rsidRDefault="00000000" w:rsidRPr="00000000" w14:paraId="00000016">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state: genomics is well-studied, but transcriptomics, proteomics, metabolomics, and pharmacogenomics are less integrated.</w:t>
      </w:r>
    </w:p>
    <w:p w:rsidR="00000000" w:rsidDel="00000000" w:rsidP="00000000" w:rsidRDefault="00000000" w:rsidRPr="00000000" w14:paraId="00000017">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studies: overlapping driver mutations across LUAD/LUSC with impaired lung function.</w:t>
      </w:r>
    </w:p>
    <w:p w:rsidR="00000000" w:rsidDel="00000000" w:rsidP="00000000" w:rsidRDefault="00000000" w:rsidRPr="00000000" w14:paraId="00000018">
      <w:pPr>
        <w:numPr>
          <w:ilvl w:val="0"/>
          <w:numId w:val="1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Lack of systematic multi-omics integration for NSCLC, particularly in non-smokers and by gender.</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5.</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b w:val="1"/>
          <w:bCs w:val="1"/>
          <w:sz w:val="29"/>
          <w:szCs w:val="29"/>
          <w:rtl w:val="0"/>
        </w:rPr>
        <w:t xml:space="preserve">Therapeutic Implications and Drug Repurposing</w:t>
      </w:r>
    </w:p>
    <w:p w:rsidR="00000000" w:rsidDel="00000000" w:rsidP="00000000" w:rsidRDefault="00000000" w:rsidRPr="00000000" w14:paraId="0000001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Targeted therapies: EGFR, ALK, KRAS-G12C inhibitors (limited benefit across all patients).</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Repurposing opportunities (e.g., dimethyl fumarate for metabolism and immune modulation</w:t>
      </w:r>
    </w:p>
    <w:p w:rsidR="00000000" w:rsidDel="00000000" w:rsidP="00000000" w:rsidRDefault="00000000" w:rsidRPr="00000000" w14:paraId="0000001C">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Few translational pipelines that validate subtype/gender-specific biomarkers for therapy selection.</w:t>
      </w:r>
    </w:p>
    <w:p w:rsidR="00000000" w:rsidDel="00000000" w:rsidP="00000000" w:rsidRDefault="00000000" w:rsidRPr="00000000" w14:paraId="0000001D">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Limited exploration of non-traditional drug targets (angiogenesis, oxidative stress, metabolism pathways).</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6.</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b w:val="1"/>
          <w:bCs w:val="1"/>
          <w:sz w:val="29"/>
          <w:szCs w:val="29"/>
          <w:rtl w:val="0"/>
        </w:rPr>
        <w:t xml:space="preserve">Clinical and Translational Gaps</w:t>
      </w:r>
    </w:p>
    <w:p w:rsidR="00000000" w:rsidDel="00000000" w:rsidP="00000000" w:rsidRDefault="00000000" w:rsidRPr="00000000" w14:paraId="0000001F">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Most NSCLC patients in large consortia (e.g., TCGA) did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receive targeted therapies; survival benefit modest.</w:t>
      </w:r>
    </w:p>
    <w:p w:rsidR="00000000" w:rsidDel="00000000" w:rsidP="00000000" w:rsidRDefault="00000000" w:rsidRPr="00000000" w14:paraId="00000020">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Real-world adoption of subtype-tailored therapies is minimal.</w:t>
      </w:r>
    </w:p>
    <w:p w:rsidR="00000000" w:rsidDel="00000000" w:rsidP="00000000" w:rsidRDefault="00000000" w:rsidRPr="00000000" w14:paraId="00000021">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Understudied interaction between chronic lung disease, impaired function, and NSCLC onset in non-smokers.</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7.</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b w:val="1"/>
          <w:bCs w:val="1"/>
          <w:sz w:val="29"/>
          <w:szCs w:val="29"/>
          <w:rtl w:val="0"/>
        </w:rPr>
        <w:t xml:space="preserve">Future Directions / Roadmap</w:t>
      </w:r>
    </w:p>
    <w:p w:rsidR="00000000" w:rsidDel="00000000" w:rsidP="00000000" w:rsidRDefault="00000000" w:rsidRPr="00000000" w14:paraId="0000002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larger, multi-ethnic, non-smoker-focused cohorts.</w:t>
      </w:r>
    </w:p>
    <w:p w:rsidR="00000000" w:rsidDel="00000000" w:rsidP="00000000" w:rsidRDefault="00000000" w:rsidRPr="00000000" w14:paraId="0000002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Expand beyond genomics → integrate transcriptomic, epigenomic, metabolomic data.</w:t>
      </w:r>
    </w:p>
    <w:p w:rsidR="00000000" w:rsidDel="00000000" w:rsidP="00000000" w:rsidRDefault="00000000" w:rsidRPr="00000000" w14:paraId="0000002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AI/ML approaches to subtype classification, survival prediction, drug response (still limited in current literature</w:t>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sex-stratified analyses and mechanistic insights (e.g., hormonal regulation in female LUSC).</w:t>
      </w:r>
    </w:p>
    <w:p w:rsidR="00000000" w:rsidDel="00000000" w:rsidP="00000000" w:rsidRDefault="00000000" w:rsidRPr="00000000" w14:paraId="00000027">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for drug repurposing pipelines connected to omics findings.</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8.</w:t>
      </w:r>
      <w:r w:rsidDel="00000000" w:rsidR="00000000" w:rsidRPr="00000000">
        <w:rPr>
          <w:rFonts w:ascii="Times New Roman" w:cs="Times New Roman" w:eastAsia="Times New Roman" w:hAnsi="Times New Roman"/>
          <w:sz w:val="16"/>
          <w:szCs w:val="16"/>
          <w:rtl w:val="0"/>
        </w:rPr>
        <w:t xml:space="preserve"> </w:t>
        <w:tab/>
      </w:r>
      <w:r w:rsidDel="00000000" w:rsidR="00000000" w:rsidRPr="00000000">
        <w:rPr>
          <w:rFonts w:ascii="Times New Roman" w:cs="Times New Roman" w:eastAsia="Times New Roman" w:hAnsi="Times New Roman"/>
          <w:b w:val="1"/>
          <w:bCs w:val="1"/>
          <w:sz w:val="29"/>
          <w:szCs w:val="29"/>
          <w:rtl w:val="0"/>
        </w:rPr>
        <w:t xml:space="preserve">Conclusion</w:t>
      </w:r>
    </w:p>
    <w:p w:rsidR="00000000" w:rsidDel="00000000" w:rsidP="00000000" w:rsidRDefault="00000000" w:rsidRPr="00000000" w14:paraId="00000029">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NSCLC subtypes remain incompletely understood, especially in non-smokers.</w:t>
      </w:r>
    </w:p>
    <w:p w:rsidR="00000000" w:rsidDel="00000000" w:rsidP="00000000" w:rsidRDefault="00000000" w:rsidRPr="00000000" w14:paraId="0000002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Gaps in gender-specific, environment-linked, and multi-omic integration studies limit progress.</w:t>
      </w:r>
    </w:p>
    <w:p w:rsidR="00000000" w:rsidDel="00000000" w:rsidP="00000000" w:rsidRDefault="00000000" w:rsidRPr="00000000" w14:paraId="0000002B">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Urgent need for systems-level, multi-omics research to improve biomarker discovery and personalized therapy.</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Potential Figures/Tables (suggested)</w:t>
      </w:r>
    </w:p>
    <w:p w:rsidR="00000000" w:rsidDel="00000000" w:rsidP="00000000" w:rsidRDefault="00000000" w:rsidRPr="00000000" w14:paraId="0000002D">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Venn diagram of driver gene overlap between LUAD and LUSC (smokers vs non-smokers; male vs female).</w:t>
      </w:r>
    </w:p>
    <w:p w:rsidR="00000000" w:rsidDel="00000000" w:rsidP="00000000" w:rsidRDefault="00000000" w:rsidRPr="00000000" w14:paraId="0000002E">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Schematic of multi-omics integration framework for NSCLC subtypes.</w:t>
      </w:r>
    </w:p>
    <w:p w:rsidR="00000000" w:rsidDel="00000000" w:rsidP="00000000" w:rsidRDefault="00000000" w:rsidRPr="00000000" w14:paraId="0000002F">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Summary of key subtype-specific alterations (LUAD vs LUSC, smokers vs non-smokers, male vs female). May be complement with a funnel diagram highlighting translational bottlenecks in subtype specific therapy</w:t>
      </w:r>
    </w:p>
    <w:p w:rsidR="00000000" w:rsidDel="00000000" w:rsidP="00000000" w:rsidRDefault="00000000" w:rsidRPr="00000000" w14:paraId="00000030">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Drug–gene interactions (FDA-approved vs repurposing candidates).</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Potential Journal options:</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1.</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9"/>
          <w:szCs w:val="29"/>
          <w:rtl w:val="0"/>
        </w:rPr>
        <w:t xml:space="preserve">Journal of Thoracic Oncology (JTO) – Clinical/Oncology audience</w:t>
      </w:r>
    </w:p>
    <w:p w:rsidR="00000000" w:rsidDel="00000000" w:rsidP="00000000" w:rsidRDefault="00000000" w:rsidRPr="00000000" w14:paraId="00000034">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Emphasis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impact of LUAD vs LUSC heterogeneity.</w:t>
      </w:r>
    </w:p>
    <w:p w:rsidR="00000000" w:rsidDel="00000000" w:rsidP="00000000" w:rsidRDefault="00000000" w:rsidRPr="00000000" w14:paraId="00000036">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gaps in applying subtype-driven therapies.</w:t>
      </w:r>
    </w:p>
    <w:p w:rsidR="00000000" w:rsidDel="00000000" w:rsidP="00000000" w:rsidRDefault="00000000" w:rsidRPr="00000000" w14:paraId="00000037">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Underrepresentation of non-smokers and women in clinical trials.</w:t>
      </w:r>
    </w:p>
    <w:p w:rsidR="00000000" w:rsidDel="00000000" w:rsidP="00000000" w:rsidRDefault="00000000" w:rsidRPr="00000000" w14:paraId="00000038">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Streamline</w:t>
      </w:r>
      <w:r w:rsidDel="00000000" w:rsidR="00000000" w:rsidRPr="00000000">
        <w:rPr>
          <w:rFonts w:ascii="Times New Roman" w:cs="Times New Roman" w:eastAsia="Times New Roman" w:hAnsi="Times New Roman"/>
          <w:sz w:val="24"/>
          <w:szCs w:val="24"/>
          <w:rtl w:val="0"/>
        </w:rPr>
        <w:t xml:space="preserve">: Technical details on omics pipelines — focus instead on therapeutic implications and survival outcomes.</w:t>
      </w:r>
    </w:p>
    <w:p w:rsidR="00000000" w:rsidDel="00000000" w:rsidP="00000000" w:rsidRDefault="00000000" w:rsidRPr="00000000" w14:paraId="00000039">
      <w:pPr>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Fit</w:t>
      </w:r>
      <w:r w:rsidDel="00000000" w:rsidR="00000000" w:rsidRPr="00000000">
        <w:rPr>
          <w:rFonts w:ascii="Times New Roman" w:cs="Times New Roman" w:eastAsia="Times New Roman" w:hAnsi="Times New Roman"/>
          <w:sz w:val="24"/>
          <w:szCs w:val="24"/>
          <w:rtl w:val="0"/>
        </w:rPr>
        <w:t xml:space="preserve">: Audience = thoracic oncologists and clinical researchers.</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2.</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9"/>
          <w:szCs w:val="29"/>
          <w:rtl w:val="0"/>
        </w:rPr>
        <w:t xml:space="preserve">Cancer Research (AACR) – Translational/Mechanistic science</w:t>
      </w:r>
    </w:p>
    <w:p w:rsidR="00000000" w:rsidDel="00000000" w:rsidP="00000000" w:rsidRDefault="00000000" w:rsidRPr="00000000" w14:paraId="0000003B">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Emphasis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Multi-omics integration and mechanistic insights (DNA methylation, proteogenomics, metabolomics).</w:t>
      </w:r>
    </w:p>
    <w:p w:rsidR="00000000" w:rsidDel="00000000" w:rsidP="00000000" w:rsidRDefault="00000000" w:rsidRPr="00000000" w14:paraId="0000003D">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Gaps in linking environmental exposures to subtype-specific epigenetics.</w:t>
      </w:r>
    </w:p>
    <w:p w:rsidR="00000000" w:rsidDel="00000000" w:rsidP="00000000" w:rsidRDefault="00000000" w:rsidRPr="00000000" w14:paraId="0000003E">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 repurposing opportunities based on molecular pathways.</w:t>
      </w:r>
    </w:p>
    <w:p w:rsidR="00000000" w:rsidDel="00000000" w:rsidP="00000000" w:rsidRDefault="00000000" w:rsidRPr="00000000" w14:paraId="0000003F">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Streamline</w:t>
      </w:r>
      <w:r w:rsidDel="00000000" w:rsidR="00000000" w:rsidRPr="00000000">
        <w:rPr>
          <w:rFonts w:ascii="Times New Roman" w:cs="Times New Roman" w:eastAsia="Times New Roman" w:hAnsi="Times New Roman"/>
          <w:sz w:val="24"/>
          <w:szCs w:val="24"/>
          <w:rtl w:val="0"/>
        </w:rPr>
        <w:t xml:space="preserve">: Less focus on clinical workflows; highlight molecular drivers and pathways.</w:t>
      </w:r>
    </w:p>
    <w:p w:rsidR="00000000" w:rsidDel="00000000" w:rsidP="00000000" w:rsidRDefault="00000000" w:rsidRPr="00000000" w14:paraId="00000040">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Fit</w:t>
      </w:r>
      <w:r w:rsidDel="00000000" w:rsidR="00000000" w:rsidRPr="00000000">
        <w:rPr>
          <w:rFonts w:ascii="Times New Roman" w:cs="Times New Roman" w:eastAsia="Times New Roman" w:hAnsi="Times New Roman"/>
          <w:sz w:val="24"/>
          <w:szCs w:val="24"/>
          <w:rtl w:val="0"/>
        </w:rPr>
        <w:t xml:space="preserve">: Audience = cancer biologists, translational researchers.</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3.</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9"/>
          <w:szCs w:val="29"/>
          <w:rtl w:val="0"/>
        </w:rPr>
        <w:t xml:space="preserve">npj Precision Oncology – Precision medicine + AI</w:t>
      </w:r>
    </w:p>
    <w:p w:rsidR="00000000" w:rsidDel="00000000" w:rsidP="00000000" w:rsidRDefault="00000000" w:rsidRPr="00000000" w14:paraId="00000042">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Emphasis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AI/ML-driven subtype discovery, survival prediction, and drug response modeling.</w:t>
      </w:r>
    </w:p>
    <w:p w:rsidR="00000000" w:rsidDel="00000000" w:rsidP="00000000" w:rsidRDefault="00000000" w:rsidRPr="00000000" w14:paraId="00000044">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gaps in reproducibility, multi-cohort validation, and gender-stratified ML studies.</w:t>
      </w:r>
    </w:p>
    <w:p w:rsidR="00000000" w:rsidDel="00000000" w:rsidP="00000000" w:rsidRDefault="00000000" w:rsidRPr="00000000" w14:paraId="00000045">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Roadmap for integrating omics and EHR data into precision oncology.</w:t>
      </w:r>
    </w:p>
    <w:p w:rsidR="00000000" w:rsidDel="00000000" w:rsidP="00000000" w:rsidRDefault="00000000" w:rsidRPr="00000000" w14:paraId="00000046">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Streamline</w:t>
      </w:r>
      <w:r w:rsidDel="00000000" w:rsidR="00000000" w:rsidRPr="00000000">
        <w:rPr>
          <w:rFonts w:ascii="Times New Roman" w:cs="Times New Roman" w:eastAsia="Times New Roman" w:hAnsi="Times New Roman"/>
          <w:sz w:val="24"/>
          <w:szCs w:val="24"/>
          <w:rtl w:val="0"/>
        </w:rPr>
        <w:t xml:space="preserve">: Detailed background on lung cancer epidemiology (assumed knowledge).</w:t>
      </w:r>
    </w:p>
    <w:p w:rsidR="00000000" w:rsidDel="00000000" w:rsidP="00000000" w:rsidRDefault="00000000" w:rsidRPr="00000000" w14:paraId="00000047">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Fit</w:t>
      </w:r>
      <w:r w:rsidDel="00000000" w:rsidR="00000000" w:rsidRPr="00000000">
        <w:rPr>
          <w:rFonts w:ascii="Times New Roman" w:cs="Times New Roman" w:eastAsia="Times New Roman" w:hAnsi="Times New Roman"/>
          <w:sz w:val="24"/>
          <w:szCs w:val="24"/>
          <w:rtl w:val="0"/>
        </w:rPr>
        <w:t xml:space="preserve">: Audience = computational oncology, precision medicine researchers.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4.</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9"/>
          <w:szCs w:val="29"/>
          <w:rtl w:val="0"/>
        </w:rPr>
        <w:t xml:space="preserve">Frontiers in Oncology / Cancers (MDPI) – Broader reach, faster response</w:t>
      </w:r>
    </w:p>
    <w:p w:rsidR="00000000" w:rsidDel="00000000" w:rsidP="00000000" w:rsidRDefault="00000000" w:rsidRPr="00000000" w14:paraId="00000049">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Emphasis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overview: epidemiology, molecular gaps, and translational bottlenecks.</w:t>
      </w:r>
    </w:p>
    <w:p w:rsidR="00000000" w:rsidDel="00000000" w:rsidP="00000000" w:rsidRDefault="00000000" w:rsidRPr="00000000" w14:paraId="0000004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Opportunity to include </w:t>
      </w:r>
      <w:r w:rsidDel="00000000" w:rsidR="00000000" w:rsidRPr="00000000">
        <w:rPr>
          <w:rFonts w:ascii="Times New Roman" w:cs="Times New Roman" w:eastAsia="Times New Roman" w:hAnsi="Times New Roman"/>
          <w:b w:val="1"/>
          <w:bCs w:val="1"/>
          <w:sz w:val="24"/>
          <w:szCs w:val="24"/>
          <w:rtl w:val="0"/>
        </w:rPr>
        <w:t xml:space="preserve">student contributions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summarizing current studies (Table of LUAD vs LUSC drivers, repurposing candidates).</w:t>
      </w:r>
    </w:p>
    <w:p w:rsidR="00000000" w:rsidDel="00000000" w:rsidP="00000000" w:rsidRDefault="00000000" w:rsidRPr="00000000" w14:paraId="0000004D">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Streamline</w:t>
      </w:r>
      <w:r w:rsidDel="00000000" w:rsidR="00000000" w:rsidRPr="00000000">
        <w:rPr>
          <w:rFonts w:ascii="Times New Roman" w:cs="Times New Roman" w:eastAsia="Times New Roman" w:hAnsi="Times New Roman"/>
          <w:sz w:val="24"/>
          <w:szCs w:val="24"/>
          <w:rtl w:val="0"/>
        </w:rPr>
        <w:t xml:space="preserve">: Can be shorter, narrative-driven, with more schematic visuals.</w:t>
      </w:r>
    </w:p>
    <w:p w:rsidR="00000000" w:rsidDel="00000000" w:rsidP="00000000" w:rsidRDefault="00000000" w:rsidRPr="00000000" w14:paraId="0000004E">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Fit</w:t>
      </w:r>
      <w:r w:rsidDel="00000000" w:rsidR="00000000" w:rsidRPr="00000000">
        <w:rPr>
          <w:rFonts w:ascii="Times New Roman" w:cs="Times New Roman" w:eastAsia="Times New Roman" w:hAnsi="Times New Roman"/>
          <w:sz w:val="24"/>
          <w:szCs w:val="24"/>
          <w:rtl w:val="0"/>
        </w:rPr>
        <w:t xml:space="preserve">: Audience = wide oncology readership, including trainees.</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Journal impact factors and fit:</w:t>
      </w:r>
    </w:p>
    <w:p w:rsidR="00000000" w:rsidDel="00000000" w:rsidP="00000000" w:rsidRDefault="00000000" w:rsidRPr="00000000" w14:paraId="00000050">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 clinical impact &amp; oncologist readership → JTO (Impact Factor 2024: 20.8 – too high for this and may have more expectations from the review paper – also will have to review their current issue papers for format and what kind of papers they publish)</w:t>
      </w:r>
    </w:p>
    <w:p w:rsidR="00000000" w:rsidDel="00000000" w:rsidP="00000000" w:rsidRDefault="00000000" w:rsidRPr="00000000" w14:paraId="0000005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 mechanistic depth &amp; high prestige → Cancer Research (Impact Factor 2024: 20.8)</w:t>
      </w:r>
    </w:p>
    <w:p w:rsidR="00000000" w:rsidDel="00000000" w:rsidP="00000000" w:rsidRDefault="00000000" w:rsidRPr="00000000" w14:paraId="0000005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 AI/omics positioning → npj Precision Oncology (Impact Factor 2024: 8 – this might be a good fit and place to stay around in my opinion for this paper).</w:t>
      </w:r>
    </w:p>
    <w:p w:rsidR="00000000" w:rsidDel="00000000" w:rsidP="00000000" w:rsidRDefault="00000000" w:rsidRPr="00000000" w14:paraId="00000053">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 speed + accessibility → Frontiers in Oncology (Impact Factor of 3.3).</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potential options:</w:t>
      </w:r>
      <w:r w:rsidDel="00000000" w:rsidR="00000000" w:rsidRPr="00000000">
        <w:rPr>
          <w:rFonts w:ascii="Times New Roman" w:cs="Times New Roman" w:eastAsia="Times New Roman" w:hAnsi="Times New Roman"/>
          <w:sz w:val="24"/>
          <w:szCs w:val="24"/>
          <w:rtl w:val="0"/>
        </w:rPr>
        <w:t xml:space="preserve"> JNCI: Journal of the National Cancer Institute with a 2024 Impact Factor of 7.2, Cancer with an Impact Factor of 5.1, and Cancer Research and Treatment with an Impact Factor of 4.1. </w:t>
      </w:r>
      <w:r w:rsidDel="00000000" w:rsidR="00000000" w:rsidRPr="00000000">
        <w:rPr>
          <w:rFonts w:ascii="Times New Roman" w:cs="Times New Roman" w:eastAsia="Times New Roman" w:hAnsi="Times New Roman"/>
          <w:b w:val="1"/>
          <w:bCs w:val="1"/>
          <w:color w:val="001d35"/>
          <w:sz w:val="24"/>
          <w:szCs w:val="24"/>
          <w:rtl w:val="0"/>
        </w:rPr>
        <w:t xml:space="preserve">Translational Lung Cancer Research </w:t>
      </w:r>
      <w:r w:rsidDel="00000000" w:rsidR="00000000" w:rsidRPr="00000000">
        <w:rPr>
          <w:rFonts w:ascii="Times New Roman" w:cs="Times New Roman" w:eastAsia="Times New Roman" w:hAnsi="Times New Roman"/>
          <w:sz w:val="24"/>
          <w:szCs w:val="24"/>
          <w:rtl w:val="0"/>
        </w:rPr>
        <w:t xml:space="preserve">with an Impact Factor of 3.5</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Abstract for npj Precision Oncology (≈200 words, can also update as needed):</w:t>
        <w:br w:type="textWrapping"/>
      </w:r>
      <w:r w:rsidDel="00000000" w:rsidR="00000000" w:rsidRPr="00000000">
        <w:rPr>
          <w:rFonts w:ascii="Times New Roman" w:cs="Times New Roman" w:eastAsia="Times New Roman" w:hAnsi="Times New Roman"/>
          <w:sz w:val="24"/>
          <w:szCs w:val="24"/>
          <w:rtl w:val="0"/>
        </w:rPr>
        <w:t xml:space="preserve"> Non-small cell lung cancer (NSCLC), encompassing lung adenocarcinoma (LUAD) and lung squamous cell carcinoma (LUSC), remains the leading cause of cancer mortality worldwide despite advances in targeted therapies and immunotherapy. Current subtype classifications largely centered on histology and limited genomic markers fail to capture the molecular, clinical, and environmental heterogeneity of NSCLC. This is particularly evident in non-smokers and women, who remain underrepresented in most studies yet often exhibit distinct mutational and epigenetic landscapes.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genomic drivers such as EGFR, KRAS, and TP53 are well-characterized, integrative approaches incorporating transcriptomic, proteomic, metabolomic, and epigenomic data remain limited. Moreover, most existing machine learning (ML) models for NSCLC subtyping are trained on single cohorts, lack reproducibility, and rarely account for sex, ancestry, or exposure-related differences. Translational bottlenecks persist, with only a fraction of molecularly defined patients benefiting from precision therapies, and drug repurposing opportunities remain largely unexplored.</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review the current state of NSCLC subtype research, highlight critical gaps in multi-omics integration, sex- and smoking-stratified analyses, and ML-driven biomarker discovery, and propose a roadmap for AI-powered approaches to accelerate reproducible and clinically actionable subtype classification. Bridging these gaps is essential to realize precision oncology for diverse NSCLC populations.</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