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8.png" ContentType="image/png"/>
  <Override PartName="/word/media/rId41.png" ContentType="image/png"/>
  <Override PartName="/word/media/rId24.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Notation de carence en magnésium</w:t>
      </w:r>
    </w:p>
    <w:p>
      <w:pPr>
        <w:pStyle w:val="Date"/>
      </w:pPr>
      <w:r>
        <w:t xml:space="preserve">6 novembre 2025</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 Files\RStudio\resources\app\bin\quarto\share\formats\docx\caution.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Mise en garde</w:t>
            </w:r>
          </w:p>
        </w:tc>
      </w:tr>
      <w:tr>
        <w:trPr>
          <w:cantSplit/>
        </w:trPr>
        <w:tc>
          <w:tcPr>
            <w:tcMar>
              <w:top w:w="108" w:type="dxa"/>
              <w:bottom w:w="108" w:type="dxa"/>
            </w:tcMar>
          </w:tcPr>
          <w:p>
            <w:pPr>
              <w:pStyle w:val="Corpsdetexte"/>
            </w:pPr>
            <w:pPr>
              <w:spacing w:before="16" w:after="16"/>
            </w:pPr>
            <w:r>
              <w:t xml:space="preserve">Fiche en cours de validation. Pour toute remarque ou question, contactez-nous.</w:t>
            </w:r>
          </w:p>
        </w:tc>
      </w:tr>
    </w:tbl>
    <w:bookmarkStart w:id="23" w:name="objectif"/>
    <w:p>
      <w:pPr>
        <w:pStyle w:val="Titre1"/>
      </w:pPr>
      <w:r>
        <w:t xml:space="preserve">Objectif</w:t>
      </w:r>
    </w:p>
    <w:p>
      <w:pPr>
        <w:pStyle w:val="FirstParagraph"/>
      </w:pPr>
      <w:r>
        <w:t xml:space="preserve">Le magnésium (Mg) est un constituant essentiel de la chlorophylle, pigment essentiel au bon déroulement de la photosynthèse et de la production de sucre. Une carence en magnésium peut engendrer des désordres physiologiques importants pour la vigne. L’évaluation de la présence et de la sévérité des symptômes permet le diagnostic.</w:t>
      </w:r>
    </w:p>
    <w:bookmarkEnd w:id="23"/>
    <w:bookmarkStart w:id="27" w:name="principe-de-la-mesure"/>
    <w:p>
      <w:pPr>
        <w:pStyle w:val="Titre1"/>
      </w:pPr>
      <w:r>
        <w:t xml:space="preserve">Principe de la mesure</w:t>
      </w:r>
    </w:p>
    <w:p>
      <w:pPr>
        <w:pStyle w:val="FirstParagraph"/>
      </w:pPr>
      <w:r>
        <w:t xml:space="preserve">Les symptômes de carence en Mg apparaissent d’abord sur les feuilles les plus âgées de la base des rameaux et s’étendent progressivement vers le sommet des rameaux. La carence en Mg se traduit par des décolorations qui apparaissent entre les nervures primaires à partir de la bordure du limbe. Ces décolorations prennent une couleur jaune sur les cépages blancs, et évoluent du jaune vers l’orange puis vers le rouge sur cépages noirs. Les tissus décolorés finissent par nécroser. Ces symptômes sont assez fréquents dans la zone des grappes à partir de la véraison. Une apparition des symptômes précoce est indicatrice d’une carence Mg plus importante.</w:t>
      </w:r>
    </w:p>
    <w:p>
      <w:pPr>
        <w:pStyle w:val="Corpsdetexte"/>
      </w:pPr>
      <w:r>
        <w:t xml:space="preserve">La mesure se base sur l’évaluation visuelle de la présence et de la gravité des symptômes de carence magnésienne. Une note est donnée à chaque cep observé.</w:t>
      </w:r>
    </w:p>
    <w:p>
      <w:pPr>
        <w:pStyle w:val="CaptionedFigure"/>
      </w:pPr>
      <w:r>
        <w:drawing>
          <wp:inline>
            <wp:extent cx="2419350" cy="2260101"/>
            <wp:effectExtent b="0" l="0" r="0" t="0"/>
            <wp:docPr descr="Symptômes de carences en Mg sur Syrah. [1]" title="" id="25" name="Picture"/>
            <a:graphic>
              <a:graphicData uri="http://schemas.openxmlformats.org/drawingml/2006/picture">
                <pic:pic>
                  <pic:nvPicPr>
                    <pic:cNvPr descr="images/caranceMg_syrah.png" id="26" name="Picture"/>
                    <pic:cNvPicPr>
                      <a:picLocks noChangeArrowheads="1" noChangeAspect="1"/>
                    </pic:cNvPicPr>
                  </pic:nvPicPr>
                  <pic:blipFill>
                    <a:blip r:embed="rId24"/>
                    <a:stretch>
                      <a:fillRect/>
                    </a:stretch>
                  </pic:blipFill>
                  <pic:spPr bwMode="auto">
                    <a:xfrm>
                      <a:off x="0" y="0"/>
                      <a:ext cx="2419350" cy="2260101"/>
                    </a:xfrm>
                    <a:prstGeom prst="rect">
                      <a:avLst/>
                    </a:prstGeom>
                    <a:noFill/>
                    <a:ln w="9525">
                      <a:noFill/>
                      <a:headEnd/>
                      <a:tailEnd/>
                    </a:ln>
                  </pic:spPr>
                </pic:pic>
              </a:graphicData>
            </a:graphic>
          </wp:inline>
        </w:drawing>
      </w:r>
    </w:p>
    <w:p>
      <w:pPr>
        <w:pStyle w:val="ImageCaption"/>
      </w:pPr>
      <w:r>
        <w:t xml:space="preserve">Symptômes de carences en Mg sur Syrah.</w:t>
      </w:r>
      <w:r>
        <w:t xml:space="preserve"> </w:t>
      </w:r>
      <w:r>
        <w:t xml:space="preserve">[1]</w:t>
      </w:r>
    </w:p>
    <w:p>
      <w:r>
        <w:br w:type="page"/>
      </w:r>
    </w:p>
    <w:bookmarkEnd w:id="27"/>
    <w:bookmarkStart w:id="46" w:name="sur-le-terrain"/>
    <w:p>
      <w:pPr>
        <w:pStyle w:val="Titre1"/>
      </w:pPr>
      <w:r>
        <w:t xml:space="preserve">Sur le terrain</w:t>
      </w:r>
    </w:p>
    <w:bookmarkStart w:id="31" w:name="échantillonnage"/>
    <w:p>
      <w:pPr>
        <w:pStyle w:val="Titre2"/>
      </w:pPr>
      <w:r>
        <w:t xml:space="preserve">Échantillonnage</w:t>
      </w:r>
    </w:p>
    <w:bookmarkStart w:id="28" w:name="nombre-dobservations"/>
    <w:p>
      <w:pPr>
        <w:pStyle w:val="Titre3"/>
      </w:pPr>
      <w:r>
        <w:t xml:space="preserve">Nombre d’observations</w:t>
      </w:r>
    </w:p>
    <w:p>
      <w:pPr>
        <w:pStyle w:val="FirstParagraph"/>
      </w:pPr>
      <w:r>
        <w:t xml:space="preserve">Observer 25 à 50 ceps selon la zone à évaluer.</w:t>
      </w:r>
    </w:p>
    <w:bookmarkEnd w:id="28"/>
    <w:bookmarkStart w:id="29" w:name="choix-des-ceps-à-observer"/>
    <w:p>
      <w:pPr>
        <w:pStyle w:val="Titre3"/>
      </w:pPr>
      <w:r>
        <w:t xml:space="preserve">Choix des ceps à observer</w:t>
      </w:r>
    </w:p>
    <w:p>
      <w:pPr>
        <w:pStyle w:val="Compact"/>
        <w:numPr>
          <w:ilvl w:val="0"/>
          <w:numId w:val="1001"/>
        </w:numPr>
      </w:pPr>
      <w:r>
        <w:t xml:space="preserve">Prendre des ceps représentatifs de la parcelle (ou les ceps qui sont observés par ailleurs)</w:t>
      </w:r>
    </w:p>
    <w:p>
      <w:pPr>
        <w:pStyle w:val="Compact"/>
        <w:numPr>
          <w:ilvl w:val="0"/>
          <w:numId w:val="1001"/>
        </w:numPr>
      </w:pPr>
      <w:r>
        <w:t xml:space="preserve">Laisser quelques ceps en bout de rangs et ne pas noter sur les rangs de bordure.</w:t>
      </w:r>
    </w:p>
    <w:bookmarkEnd w:id="29"/>
    <w:bookmarkStart w:id="30" w:name="organes-à-observer"/>
    <w:p>
      <w:pPr>
        <w:pStyle w:val="Titre3"/>
      </w:pPr>
      <w:r>
        <w:t xml:space="preserve">Organes à observer</w:t>
      </w:r>
    </w:p>
    <w:p>
      <w:pPr>
        <w:pStyle w:val="FirstParagraph"/>
      </w:pPr>
      <w:r>
        <w:t xml:space="preserve">Feuilles à la base des rameaux principaux, poussés sur du bois de l’année (latte ou courson). Ne pas observer les sarments issus de vieux bois ni sur les entre-cœurs. Les feuilles ne doivent pas être eutypiées ni abîmées (déchiquetage, phytotoxicité, maladies diverses).</w:t>
      </w:r>
    </w:p>
    <w:bookmarkEnd w:id="30"/>
    <w:bookmarkEnd w:id="31"/>
    <w:bookmarkStart w:id="45" w:name="mesure"/>
    <w:p>
      <w:pPr>
        <w:pStyle w:val="Titre2"/>
      </w:pPr>
      <w:r>
        <w:t xml:space="preserve">Mesure</w:t>
      </w:r>
    </w:p>
    <w:bookmarkStart w:id="35" w:name="réalisation"/>
    <w:p>
      <w:pPr>
        <w:pStyle w:val="Titre3"/>
      </w:pPr>
      <w:r>
        <w:t xml:space="preserve">Réalisation</w:t>
      </w:r>
    </w:p>
    <w:p>
      <w:pPr>
        <w:pStyle w:val="FirstParagraph"/>
      </w:pPr>
      <w:r>
        <w:t xml:space="preserve">Une note est attribuée à chaque cep observé selon l’intensité des symptômes observés sur le feuillage. Seuls les symptômes typiques de la carence en Mg sont notés selon l’échelle proposée par la Chambre d’Agriculture de l’Hérault, sur le modèle de celle de Champagnol (1988) pour le potassium.</w:t>
      </w:r>
    </w:p>
    <w:p>
      <w:pPr>
        <w:numPr>
          <w:ilvl w:val="0"/>
          <w:numId w:val="1002"/>
        </w:numPr>
      </w:pPr>
      <w:r>
        <w:t xml:space="preserve">A : Pas de symptômes visibles.</w:t>
      </w:r>
    </w:p>
    <w:p>
      <w:pPr>
        <w:numPr>
          <w:ilvl w:val="0"/>
          <w:numId w:val="1002"/>
        </w:numPr>
      </w:pPr>
      <w:r>
        <w:t xml:space="preserve">B : Début de pigmentation inter-nervaire, sur une partie du limbe.</w:t>
      </w:r>
    </w:p>
    <w:p>
      <w:pPr>
        <w:numPr>
          <w:ilvl w:val="0"/>
          <w:numId w:val="1002"/>
        </w:numPr>
      </w:pPr>
      <w:r>
        <w:t xml:space="preserve">C : Pigmentation inter-nervaire généralisée.</w:t>
      </w:r>
    </w:p>
    <w:p>
      <w:pPr>
        <w:numPr>
          <w:ilvl w:val="0"/>
          <w:numId w:val="1002"/>
        </w:numPr>
      </w:pPr>
      <w:r>
        <w:t xml:space="preserve">D : Apparition de tissus nécrosés.</w:t>
      </w:r>
    </w:p>
    <w:p>
      <w:pPr>
        <w:pStyle w:val="CaptionedFigure"/>
      </w:pPr>
      <w:r>
        <w:drawing>
          <wp:inline>
            <wp:extent cx="6400800" cy="1594130"/>
            <wp:effectExtent b="0" l="0" r="0" t="0"/>
            <wp:docPr descr="Photos des symptômes et note associé dans l’échelle proposée par la CA34, 2025" title="" id="33" name="Picture"/>
            <a:graphic>
              <a:graphicData uri="http://schemas.openxmlformats.org/drawingml/2006/picture">
                <pic:pic>
                  <pic:nvPicPr>
                    <pic:cNvPr descr="images/carence_mg.png" id="34" name="Picture"/>
                    <pic:cNvPicPr>
                      <a:picLocks noChangeArrowheads="1" noChangeAspect="1"/>
                    </pic:cNvPicPr>
                  </pic:nvPicPr>
                  <pic:blipFill>
                    <a:blip r:embed="rId32"/>
                    <a:stretch>
                      <a:fillRect/>
                    </a:stretch>
                  </pic:blipFill>
                  <pic:spPr bwMode="auto">
                    <a:xfrm>
                      <a:off x="0" y="0"/>
                      <a:ext cx="6400800" cy="1594130"/>
                    </a:xfrm>
                    <a:prstGeom prst="rect">
                      <a:avLst/>
                    </a:prstGeom>
                    <a:noFill/>
                    <a:ln w="9525">
                      <a:noFill/>
                      <a:headEnd/>
                      <a:tailEnd/>
                    </a:ln>
                  </pic:spPr>
                </pic:pic>
              </a:graphicData>
            </a:graphic>
          </wp:inline>
        </w:drawing>
      </w:r>
    </w:p>
    <w:p>
      <w:pPr>
        <w:pStyle w:val="ImageCaption"/>
      </w:pPr>
      <w:r>
        <w:t xml:space="preserve">Photos des symptômes et note associé dans l’échelle proposée par la CA34, 2025</w:t>
      </w:r>
    </w:p>
    <w:p>
      <w:pPr>
        <w:pStyle w:val="Corpsdetexte"/>
      </w:pPr>
      <w:r>
        <w:t xml:space="preserve">Pour que la note soit validée à l’échelle du cep, il faut au moins 2 feuilles présentant des symptômes équivalents (ou plus prononcés) sur 2 rameaux différents. Par exemple, pour feuille notée B sur un rameau et une autre notée C sur un autre rameau, la note retenue pour le cep sera B.</w:t>
      </w:r>
    </w:p>
    <w:bookmarkEnd w:id="35"/>
    <w:bookmarkStart w:id="36" w:name="outils"/>
    <w:p>
      <w:pPr>
        <w:pStyle w:val="Titre3"/>
      </w:pPr>
      <w:r>
        <w:t xml:space="preserve">Outils</w:t>
      </w:r>
    </w:p>
    <w:p>
      <w:pPr>
        <w:pStyle w:val="FirstParagraph"/>
      </w:pPr>
      <w:r>
        <w:t xml:space="preserve">Feuille de notation et appareil photo.</w:t>
      </w:r>
    </w:p>
    <w:bookmarkEnd w:id="36"/>
    <w:bookmarkStart w:id="37" w:name="période-de-mesure"/>
    <w:p>
      <w:pPr>
        <w:pStyle w:val="Titre3"/>
      </w:pPr>
      <w:r>
        <w:t xml:space="preserve">Période de mesure</w:t>
      </w:r>
    </w:p>
    <w:p>
      <w:pPr>
        <w:pStyle w:val="FirstParagraph"/>
      </w:pPr>
      <w:r>
        <w:t xml:space="preserve">Les observations doivent être faire quand l’intensité des symptômes est maximale, en été.</w:t>
      </w:r>
    </w:p>
    <w:bookmarkEnd w:id="37"/>
    <w:bookmarkStart w:id="44" w:name="aspects-pratiques"/>
    <w:p>
      <w:pPr>
        <w:pStyle w:val="Titre3"/>
      </w:pPr>
      <w:r>
        <w:t xml:space="preserve">Aspects pratiques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Program Files\RStudio\resources\app\bin\quarto\share\formats\docx\note.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Ne pas oublier de noter aussi le nom de l’observateur, la date d’observation et le stade phénologique. Compléter la notation par la prise de photos pour illustrer et valider le diagnostic.</w:t>
            </w:r>
          </w:p>
        </w:tc>
      </w:tr>
    </w:tbl>
    <w:p>
      <w:pPr>
        <w:pStyle w:val="Corpsdetexte"/>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Program Files\RStudio\resources\app\bin\quarto\share\formats\docx\warning.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Ne pas confondre des symptômes de carence en Mg avec d’autres causes de jaunissement comme la carence potassique, le court-noué ou la flavescence dorée !</w:t>
            </w:r>
          </w:p>
        </w:tc>
      </w:tr>
    </w:tbl>
    <w:bookmarkEnd w:id="44"/>
    <w:bookmarkEnd w:id="45"/>
    <w:bookmarkEnd w:id="46"/>
    <w:bookmarkStart w:id="51" w:name="traitement-des-résultats"/>
    <w:p>
      <w:pPr>
        <w:pStyle w:val="Titre1"/>
      </w:pPr>
      <w:r>
        <w:t xml:space="preserve">Traitement des résultats</w:t>
      </w:r>
    </w:p>
    <w:bookmarkStart w:id="47" w:name="définition-des-variables"/>
    <w:p>
      <w:pPr>
        <w:pStyle w:val="Titre2"/>
      </w:pPr>
      <w:r>
        <w:t xml:space="preserve">Définition des variables</w:t>
      </w:r>
    </w:p>
    <w:p>
      <w:pPr>
        <w:pStyle w:val="FirstParagraph"/>
      </w:pPr>
      <w:r>
        <w:t xml:space="preserve">La fréquence des ceps touchés et la moyenne des notes peut être calculée sur l’unité d’observation (parcelle ou placette).</w:t>
      </w:r>
    </w:p>
    <w:bookmarkEnd w:id="47"/>
    <w:bookmarkStart w:id="50" w:name="interprétation-des-résultats"/>
    <w:p>
      <w:pPr>
        <w:pStyle w:val="Titre2"/>
      </w:pPr>
      <w:r>
        <w:t xml:space="preserve">Interprétation des résultats</w:t>
      </w:r>
    </w:p>
    <w:p>
      <w:pPr>
        <w:pStyle w:val="FirstParagraph"/>
      </w:pPr>
      <w:r>
        <w:t xml:space="preserve">L’interprétation des résultats doit tenir compte de l’historique de fertilisation sur la parcelle, du matériel végétal (cépage et porte-greffe). L’analyse doit tenir compte de l’antagonisme du magnésium avec le potassium : un niveau trop élevé d’absorption du potassium peut se traduire par une moindre absorption de magnésium et inversement. Par exemple, les porte-greffes Fercal et SO4 absorbent facilement le K et peuvent créer des carences en Mg.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C:\Program Files\RStudio\resources\app\bin\quarto\share\formats\docx\note.png" id="49"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Une analyse de laboratoire avec dosage des teneurs en potassium et magnésium dans les pétioles ou feuilles peut être utile pour confirmer le diagnostic et prendre en compte l’antagonisme entre ces deux éléments. Les analyses de sol peuvent aussi permettre d’affiner le diagnostic et de calibrer les mesures correctives.</w:t>
            </w:r>
          </w:p>
        </w:tc>
      </w:tr>
    </w:tbl>
    <w:bookmarkEnd w:id="50"/>
    <w:bookmarkEnd w:id="51"/>
    <w:bookmarkStart w:id="60" w:name="compléments-dinformation"/>
    <w:p>
      <w:pPr>
        <w:pStyle w:val="Titre1"/>
      </w:pPr>
      <w:r>
        <w:t xml:space="preserve">Compléments d’information</w:t>
      </w:r>
    </w:p>
    <w:bookmarkStart w:id="54" w:name="ressources-complémentaires"/>
    <w:p>
      <w:pPr>
        <w:pStyle w:val="Titre2"/>
      </w:pPr>
      <w:r>
        <w:t xml:space="preserve">Ressources complémentaires</w:t>
      </w:r>
    </w:p>
    <w:p>
      <w:pPr>
        <w:numPr>
          <w:ilvl w:val="0"/>
          <w:numId w:val="1003"/>
        </w:numPr>
      </w:pPr>
      <w:hyperlink r:id="rId52">
        <w:r>
          <w:rPr>
            <w:rStyle w:val="Hyperlink"/>
          </w:rPr>
          <w:t xml:space="preserve">Fiche</w:t>
        </w:r>
      </w:hyperlink>
      <w:r>
        <w:t xml:space="preserve"> </w:t>
      </w:r>
      <w:r>
        <w:t xml:space="preserve">IFV Occitanie.</w:t>
      </w:r>
    </w:p>
    <w:p>
      <w:pPr>
        <w:numPr>
          <w:ilvl w:val="0"/>
          <w:numId w:val="1003"/>
        </w:numPr>
      </w:pPr>
      <w:r>
        <w:t xml:space="preserve">Guide Viticulture durable des Charentes, voir fiche sur</w:t>
      </w:r>
      <w:r>
        <w:t xml:space="preserve"> </w:t>
      </w:r>
      <w:hyperlink r:id="rId53">
        <w:r>
          <w:rPr>
            <w:rStyle w:val="Hyperlink"/>
          </w:rPr>
          <w:t xml:space="preserve">l’alimentation K, Mg et P</w:t>
        </w:r>
      </w:hyperlink>
    </w:p>
    <w:bookmarkEnd w:id="54"/>
    <w:bookmarkStart w:id="56" w:name="source-et-mise-à-jour"/>
    <w:p>
      <w:pPr>
        <w:pStyle w:val="Titre2"/>
      </w:pPr>
      <w:r>
        <w:t xml:space="preserve">Source et mise à jour</w:t>
      </w:r>
    </w:p>
    <w:p>
      <w:pPr>
        <w:pStyle w:val="FirstParagraph"/>
      </w:pPr>
      <w:r>
        <w:t xml:space="preserve">Cette fiche est disponible sur ce</w:t>
      </w:r>
      <w:r>
        <w:t xml:space="preserve"> </w:t>
      </w:r>
      <w:hyperlink r:id="rId55">
        <w:r>
          <w:rPr>
            <w:rStyle w:val="Hyperlink"/>
          </w:rPr>
          <w:t xml:space="preserve">site web</w:t>
        </w:r>
      </w:hyperlink>
      <w:r>
        <w:t xml:space="preserve">.</w:t>
      </w:r>
    </w:p>
    <w:p>
      <w:pPr>
        <w:pStyle w:val="Corpsdetexte"/>
      </w:pPr>
      <w:r>
        <w:t xml:space="preserve">N’oubliez pas de vérifier les mises à jour disponibles !</w:t>
      </w:r>
    </w:p>
    <w:bookmarkEnd w:id="56"/>
    <w:bookmarkStart w:id="59" w:name="références"/>
    <w:p>
      <w:pPr>
        <w:pStyle w:val="Titre2"/>
      </w:pPr>
      <w:r>
        <w:t xml:space="preserve">Références</w:t>
      </w:r>
    </w:p>
    <w:bookmarkStart w:id="58" w:name="refs"/>
    <w:bookmarkStart w:id="57" w:name="ref-rogiers2021"/>
    <w:p>
      <w:pPr>
        <w:pStyle w:val="Bibliography"/>
      </w:pPr>
      <w:r>
        <w:t xml:space="preserve">1.</w:t>
      </w:r>
      <w:r>
        <w:t xml:space="preserve"> </w:t>
      </w:r>
      <w:r>
        <w:t xml:space="preserve">	</w:t>
      </w:r>
      <w:r>
        <w:t xml:space="preserve">Rogiers, S.; Zheng, L.; Oczkowski, A.; Rahaman, M.; Paul, M.; Baby, T.; Mentjox, K.; Schmidtke, L.; Walker, R.; Holzapfel, B. Vine nutrition: A diagnostic app for nutrient disorder assessment.</w:t>
      </w:r>
      <w:r>
        <w:t xml:space="preserve"> </w:t>
      </w:r>
      <w:r>
        <w:rPr>
          <w:b/>
          <w:bCs/>
        </w:rPr>
        <w:t xml:space="preserve">2021</w:t>
      </w:r>
      <w:r>
        <w:t xml:space="preserve">.</w:t>
      </w:r>
    </w:p>
    <w:bookmarkEnd w:id="57"/>
    <w:bookmarkEnd w:id="58"/>
    <w:bookmarkEnd w:id="59"/>
    <w:bookmarkEnd w:id="60"/>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hyperlink" Id="rId53" Target="https://vignevin-charentes.com/animals/nutrition-et-fertilisation-vigne/#" TargetMode="External" /><Relationship Type="http://schemas.openxmlformats.org/officeDocument/2006/relationships/hyperlink" Id="rId55" Target="https://vignevin.github.io/methodo/" TargetMode="External" /><Relationship Type="http://schemas.openxmlformats.org/officeDocument/2006/relationships/hyperlink" Id="rId52" Target="https://www.vignevin-occitanie.com/fiches-pratiques/fertilisations-phosphatee-p-potassique-ket-magnesienne-mg-de-la-vigne/" TargetMode="External" /></Relationships>
</file>

<file path=word/_rels/footnotes.xml.rels><?xml version="1.0" encoding="UTF-8"?><Relationships xmlns="http://schemas.openxmlformats.org/package/2006/relationships"><Relationship Type="http://schemas.openxmlformats.org/officeDocument/2006/relationships/hyperlink" Id="rId53" Target="https://vignevin-charentes.com/animals/nutrition-et-fertilisation-vigne/#" TargetMode="External" /><Relationship Type="http://schemas.openxmlformats.org/officeDocument/2006/relationships/hyperlink" Id="rId55" Target="https://vignevin.github.io/methodo/" TargetMode="External" /><Relationship Type="http://schemas.openxmlformats.org/officeDocument/2006/relationships/hyperlink" Id="rId52" Target="https://www.vignevin-occitanie.com/fiches-pratiques/fertilisations-phosphatee-p-potassique-ket-magnesienne-mg-de-la-vig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Notation de carence en magnésium</dc:title>
  <dc:creator/>
  <dc:language>fr</dc:language>
  <cp:keywords/>
  <dcterms:created xsi:type="dcterms:W3CDTF">2026-03-06T12:45:58Z</dcterms:created>
  <dcterms:modified xsi:type="dcterms:W3CDTF">2026-03-06T12:45:58Z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