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Override PartName="/word/media/rId21.png" ContentType="image/png"/>
  <Override PartName="/word/media/rId32.png" ContentType="image/png"/>
  <Override PartName="/word/media/rId43.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re"/>
      </w:pPr>
      <w:r>
        <w:t xml:space="preserve">Suivi de la floraison de la vigne</w:t>
      </w:r>
    </w:p>
    <w:p>
      <w:pPr>
        <w:pStyle w:val="Date"/>
      </w:pPr>
      <w:r>
        <w:t xml:space="preserve">6 novembre 2025</w:t>
      </w:r>
    </w:p>
    <w:bookmarkStart w:id="20" w:name="objectif"/>
    <w:p>
      <w:pPr>
        <w:pStyle w:val="Titre1"/>
      </w:pPr>
      <w:r>
        <w:t xml:space="preserve">Objectif</w:t>
      </w:r>
    </w:p>
    <w:p>
      <w:pPr>
        <w:pStyle w:val="FirstParagraph"/>
      </w:pPr>
      <w:r>
        <w:t xml:space="preserve">La détermination des principaux stades phénologiques permet de définir la précocité de la parcelle ou de la modalité étudiée. Par ailleurs, elle est indispensable aux calculs de certains indicateurs bioclimatiques ou des bilans hydriques.</w:t>
      </w:r>
    </w:p>
    <w:bookmarkEnd w:id="20"/>
    <w:bookmarkStart w:id="24" w:name="principe-de-la-mesure"/>
    <w:p>
      <w:pPr>
        <w:pStyle w:val="Titre1"/>
      </w:pPr>
      <w:r>
        <w:t xml:space="preserve">Principe de la mesure</w:t>
      </w:r>
    </w:p>
    <w:p>
      <w:pPr>
        <w:pStyle w:val="FirstParagraph"/>
      </w:pPr>
      <w:r>
        <w:t xml:space="preserve">La floraison marque le début de la phase reproductive : la chute du capuchon correspond au moment où le pollen va entrer en contact avec les stigmates. Le processus de fécondation des ovules qui suit conditionne la formation des baies et des pépins, il constitue donc un moment crucial dans le cycle de développement.</w:t>
      </w:r>
    </w:p>
    <w:p>
      <w:pPr>
        <w:pStyle w:val="Corpsdetexte"/>
      </w:pPr>
      <w:r>
        <w:t xml:space="preserve">La floraison est évaluée sur la base d’observations régulières des inflorescences sur des ceps représentatifs dans chaque zone suivie</w:t>
      </w:r>
      <w:r>
        <w:t xml:space="preserve"> </w:t>
      </w:r>
      <w:r>
        <w:t xml:space="preserve">[1]</w:t>
      </w:r>
      <w:r>
        <w:t xml:space="preserve">.</w:t>
      </w:r>
    </w:p>
    <w:tbl>
      <w:tblPr>
        <w:tblStyle w:val="Table"/>
        <w:tblLook w:firstRow="0" w:lastRow="0" w:firstColumn="0" w:lastColumn="0" w:noHBand="0" w:noVBand="0" w:val="0000"/>
        <w:tblBorders>
          <w:left w:val="single" w:sz="24" w:space="0" w:color="EB9113"/>
          <w:right w:val="single" w:sz="4" w:space="0" w:color="EB9113"/>
          <w:top w:val="single" w:sz="4" w:space="0" w:color="EB9113"/>
          <w:bottom w:val="single" w:sz="4" w:space="0" w:color="EB9113"/>
        </w:tblBorders>
        <w:tblCellMar>
          <w:left w:w="144" w:type="dxa"/>
          <w:right w:w="144" w:type="dxa"/>
        </w:tblCellMar>
        <w:tblInd w:w="164" w:type="dxa"/>
        <w:tblW w:type="pct" w:w="100%"/>
      </w:tblPr>
      <w:tr>
        <w:trPr>
          <w:cantSplit/>
        </w:trPr>
        <w:tc>
          <w:tcPr>
            <w:shd w:color="auto" w:fill="fcefdc" w:val="clear"/>
            <w:tcMar>
              <w:top w:w="92" w:type="dxa"/>
              <w:bottom w:w="92" w:type="dxa"/>
            </w:tcMar>
          </w:tcPr>
          <w:p>
            <w:pPr>
              <w:pStyle w:val="Corpsdetexte"/>
            </w:pPr>
            <w:pPr>
              <w:spacing w:before="0" w:after="0"/>
              <w:textAlignment w:val="center"/>
            </w:pPr>
            <w:r>
              <w:drawing>
                <wp:inline>
                  <wp:extent cx="152400" cy="152400"/>
                  <wp:effectExtent b="0" l="0" r="0" t="0"/>
                  <wp:docPr descr="" title="" id="22" name="Picture"/>
                  <a:graphic>
                    <a:graphicData uri="http://schemas.openxmlformats.org/drawingml/2006/picture">
                      <pic:pic>
                        <pic:nvPicPr>
                          <pic:cNvPr descr="C:\Program Files\RStudio\resources\app\bin\quarto\share\formats\docx\warning.png" id="23" name="Picture"/>
                          <pic:cNvPicPr>
                            <a:picLocks noChangeArrowheads="1" noChangeAspect="1"/>
                          </pic:cNvPicPr>
                        </pic:nvPicPr>
                        <pic:blipFill>
                          <a:blip r:embed="rId2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Avertissement</w:t>
            </w:r>
          </w:p>
        </w:tc>
      </w:tr>
      <w:tr>
        <w:trPr>
          <w:cantSplit/>
        </w:trPr>
        <w:tc>
          <w:tcPr>
            <w:tcMar>
              <w:top w:w="108" w:type="dxa"/>
              <w:bottom w:w="108" w:type="dxa"/>
            </w:tcMar>
          </w:tcPr>
          <w:p>
            <w:pPr>
              <w:pStyle w:val="Corpsdetexte"/>
            </w:pPr>
            <w:pPr>
              <w:spacing w:before="16" w:after="16"/>
            </w:pPr>
            <w:r>
              <w:t xml:space="preserve">Attention, l’évaluation des pourcentages de fleurs ouvertes sur inflorescence est sensible à l’effet observateur. Il est nécessaire de s’entraîner au préalable.</w:t>
            </w:r>
          </w:p>
        </w:tc>
      </w:tr>
    </w:tbl>
    <w:p>
      <w:r>
        <w:br w:type="page"/>
      </w:r>
    </w:p>
    <w:bookmarkEnd w:id="24"/>
    <w:bookmarkStart w:id="40" w:name="réalisation-de-la-mesure"/>
    <w:p>
      <w:pPr>
        <w:pStyle w:val="Titre1"/>
      </w:pPr>
      <w:r>
        <w:t xml:space="preserve">Réalisation de la mesure</w:t>
      </w:r>
    </w:p>
    <w:bookmarkStart w:id="28" w:name="échantillonnage"/>
    <w:p>
      <w:pPr>
        <w:pStyle w:val="Titre2"/>
      </w:pPr>
      <w:r>
        <w:t xml:space="preserve">Échantillonnage</w:t>
      </w:r>
    </w:p>
    <w:bookmarkStart w:id="25" w:name="nombre-dobservations"/>
    <w:p>
      <w:pPr>
        <w:pStyle w:val="Titre3"/>
      </w:pPr>
      <w:r>
        <w:t xml:space="preserve">Nombre d’observations</w:t>
      </w:r>
    </w:p>
    <w:p>
      <w:pPr>
        <w:pStyle w:val="FirstParagraph"/>
      </w:pPr>
      <w:r>
        <w:t xml:space="preserve">Il est nécessaire de faire au minimum 30 observations par zone homogène. La notation peut-être réalisée à la souche ou sur chaque inflorescence.</w:t>
      </w:r>
    </w:p>
    <w:bookmarkEnd w:id="25"/>
    <w:bookmarkStart w:id="26" w:name="ceps-à-observer"/>
    <w:p>
      <w:pPr>
        <w:pStyle w:val="Titre3"/>
      </w:pPr>
      <w:r>
        <w:t xml:space="preserve">Ceps à observer</w:t>
      </w:r>
    </w:p>
    <w:p>
      <w:pPr>
        <w:pStyle w:val="Compact"/>
        <w:numPr>
          <w:ilvl w:val="0"/>
          <w:numId w:val="1001"/>
        </w:numPr>
      </w:pPr>
      <w:r>
        <w:t xml:space="preserve">Prendre des ceps représentatifs de la parcelle (ou les ceps qui sont observés par ailleurs), formés de manière définitive et en production.</w:t>
      </w:r>
    </w:p>
    <w:p>
      <w:pPr>
        <w:pStyle w:val="Compact"/>
        <w:numPr>
          <w:ilvl w:val="0"/>
          <w:numId w:val="1001"/>
        </w:numPr>
      </w:pPr>
      <w:r>
        <w:t xml:space="preserve">Exclure de la mesure les ceps malades et les ceps voisins des manquants.</w:t>
      </w:r>
    </w:p>
    <w:p>
      <w:pPr>
        <w:pStyle w:val="Compact"/>
        <w:numPr>
          <w:ilvl w:val="0"/>
          <w:numId w:val="1001"/>
        </w:numPr>
      </w:pPr>
      <w:r>
        <w:t xml:space="preserve">Laisser quelques ceps en bordure de rangs.</w:t>
      </w:r>
    </w:p>
    <w:bookmarkEnd w:id="26"/>
    <w:bookmarkStart w:id="27" w:name="organes-à-observer"/>
    <w:p>
      <w:pPr>
        <w:pStyle w:val="Titre3"/>
      </w:pPr>
      <w:r>
        <w:t xml:space="preserve">Organes à observer</w:t>
      </w:r>
    </w:p>
    <w:p>
      <w:pPr>
        <w:pStyle w:val="FirstParagraph"/>
      </w:pPr>
      <w:r>
        <w:t xml:space="preserve">Seules sont observées les deux premières</w:t>
      </w:r>
      <w:r>
        <w:t xml:space="preserve"> </w:t>
      </w:r>
      <w:r>
        <w:rPr>
          <w:b/>
          <w:bCs/>
        </w:rPr>
        <w:t xml:space="preserve">inflorescences</w:t>
      </w:r>
      <w:r>
        <w:t xml:space="preserve"> </w:t>
      </w:r>
      <w:r>
        <w:t xml:space="preserve">rencontrées à partir de la base du sarment. Sont exclues les inflorescences portées par les gourmands, les entre-cœurs et les bouts de vrilles.</w:t>
      </w:r>
    </w:p>
    <w:bookmarkEnd w:id="27"/>
    <w:bookmarkEnd w:id="28"/>
    <w:bookmarkStart w:id="39" w:name="sur-le-terrain"/>
    <w:p>
      <w:pPr>
        <w:pStyle w:val="Titre2"/>
      </w:pPr>
      <w:r>
        <w:t xml:space="preserve">Sur le terrain</w:t>
      </w:r>
    </w:p>
    <w:bookmarkStart w:id="35" w:name="réalisation"/>
    <w:p>
      <w:pPr>
        <w:pStyle w:val="Titre3"/>
      </w:pPr>
      <w:r>
        <w:t xml:space="preserve">Réalisation</w:t>
      </w:r>
    </w:p>
    <w:p>
      <w:pPr>
        <w:pStyle w:val="FirstParagraph"/>
      </w:pPr>
      <w:r>
        <w:t xml:space="preserve">L’échelle BBCH de la vigne</w:t>
      </w:r>
      <w:r>
        <w:rPr>
          <w:rStyle w:val="FootnoteReference"/>
        </w:rPr>
        <w:footnoteReference w:id="29"/>
      </w:r>
      <w:r>
        <w:t xml:space="preserve"> </w:t>
      </w:r>
      <w:r>
        <w:t xml:space="preserve">est l’échelle de référence à utiliser</w:t>
      </w:r>
      <w:r>
        <w:t xml:space="preserve"> </w:t>
      </w:r>
      <w:r>
        <w:t xml:space="preserve">[3]</w:t>
      </w:r>
      <w:r>
        <w:t xml:space="preserve">. On considère qu’une fleur est ouverte quand la base du capuchon est détachée, que celui-ci tombe ou non.</w:t>
      </w:r>
    </w:p>
    <w:p>
      <w:pPr>
        <w:pStyle w:val="Corpsdetexte"/>
      </w:pPr>
      <w:r>
        <w:t xml:space="preserve">Le stade mi-floraison est représenté par le stade (</w:t>
      </w:r>
      <w:hyperlink r:id="rId31">
        <w:r>
          <w:rPr>
            <w:rStyle w:val="Hyperlink"/>
          </w:rPr>
          <w:t xml:space="preserve">BBCH65</w:t>
        </w:r>
      </w:hyperlink>
      <w:r>
        <w:t xml:space="preserve">).</w:t>
      </w:r>
    </w:p>
    <w:p>
      <w:pPr>
        <w:pStyle w:val="Corpsdetexte"/>
      </w:pPr>
      <w:r>
        <w:t xml:space="preserve">Le taux de fleurs ouvertes est estimé pour chaque inflorescence ou pour chaque cep.</w:t>
      </w:r>
    </w:p>
    <w:p>
      <w:pPr>
        <w:pStyle w:val="CaptionedFigure"/>
      </w:pPr>
      <w:r>
        <w:drawing>
          <wp:inline>
            <wp:extent cx="6400800" cy="2232581"/>
            <wp:effectExtent b="0" l="0" r="0" t="0"/>
            <wp:docPr descr="Evolution du taux de floraison [1]" title="" id="33" name="Picture"/>
            <a:graphic>
              <a:graphicData uri="http://schemas.openxmlformats.org/drawingml/2006/picture">
                <pic:pic>
                  <pic:nvPicPr>
                    <pic:cNvPr descr="images/pheno_flo.png" id="34" name="Picture"/>
                    <pic:cNvPicPr>
                      <a:picLocks noChangeArrowheads="1" noChangeAspect="1"/>
                    </pic:cNvPicPr>
                  </pic:nvPicPr>
                  <pic:blipFill>
                    <a:blip r:embed="rId32"/>
                    <a:stretch>
                      <a:fillRect/>
                    </a:stretch>
                  </pic:blipFill>
                  <pic:spPr bwMode="auto">
                    <a:xfrm>
                      <a:off x="0" y="0"/>
                      <a:ext cx="6400800" cy="2232581"/>
                    </a:xfrm>
                    <a:prstGeom prst="rect">
                      <a:avLst/>
                    </a:prstGeom>
                    <a:noFill/>
                    <a:ln w="9525">
                      <a:noFill/>
                      <a:headEnd/>
                      <a:tailEnd/>
                    </a:ln>
                  </pic:spPr>
                </pic:pic>
              </a:graphicData>
            </a:graphic>
          </wp:inline>
        </w:drawing>
      </w:r>
    </w:p>
    <w:p>
      <w:pPr>
        <w:pStyle w:val="ImageCaption"/>
      </w:pPr>
      <w:r>
        <w:t xml:space="preserve">Evolution du taux de floraison</w:t>
      </w:r>
      <w:r>
        <w:t xml:space="preserve"> </w:t>
      </w:r>
      <w:r>
        <w:t xml:space="preserve">[1]</w:t>
      </w:r>
    </w:p>
    <w:bookmarkEnd w:id="35"/>
    <w:bookmarkStart w:id="36" w:name="outils"/>
    <w:p>
      <w:pPr>
        <w:pStyle w:val="Titre3"/>
      </w:pPr>
      <w:r>
        <w:t xml:space="preserve">Outils</w:t>
      </w:r>
    </w:p>
    <w:p>
      <w:pPr>
        <w:pStyle w:val="FirstParagraph"/>
      </w:pPr>
      <w:r>
        <w:t xml:space="preserve">Pas d’outils disponibles à notre connaissance.</w:t>
      </w:r>
    </w:p>
    <w:bookmarkEnd w:id="36"/>
    <w:bookmarkStart w:id="37" w:name="période-de-mesure"/>
    <w:p>
      <w:pPr>
        <w:pStyle w:val="Titre3"/>
      </w:pPr>
      <w:r>
        <w:t xml:space="preserve">Période de mesure</w:t>
      </w:r>
    </w:p>
    <w:p>
      <w:pPr>
        <w:pStyle w:val="FirstParagraph"/>
      </w:pPr>
      <w:r>
        <w:t xml:space="preserve">A partir du moment où l’on observe au minimum 5 % de fleurs ouvertes, faire au moins 1 passage supplémentaire avec au maximum une semaine d’intervalle de manière à avoir une observation après 50 % de fleurs ouvertes.</w:t>
      </w:r>
    </w:p>
    <w:p>
      <w:pPr>
        <w:pStyle w:val="Corpsdetexte"/>
      </w:pPr>
      <w:r>
        <w:t xml:space="preserve">Il s’agit</w:t>
      </w:r>
      <w:r>
        <w:t xml:space="preserve"> </w:t>
      </w:r>
      <w:r>
        <w:rPr>
          <w:b/>
          <w:bCs/>
        </w:rPr>
        <w:t xml:space="preserve">d’encadrer la date à laquelle 50% des organes ont atteint le stade à observer.</w:t>
      </w:r>
    </w:p>
    <w:bookmarkEnd w:id="37"/>
    <w:bookmarkStart w:id="38" w:name="aspects-pratiques"/>
    <w:p>
      <w:pPr>
        <w:pStyle w:val="Titre3"/>
      </w:pPr>
      <w:r>
        <w:t xml:space="preserve">Aspects pratiques</w:t>
      </w:r>
    </w:p>
    <w:p>
      <w:pPr>
        <w:pStyle w:val="FirstParagraph"/>
      </w:pPr>
      <w:r>
        <w:t xml:space="preserve">La notation est assez rapide, 5 minutes sont nécessaires à une personne habituée pour évaluer le stade phénologique sur 5 ceps.</w:t>
      </w:r>
    </w:p>
    <w:p>
      <w:r>
        <w:br w:type="page"/>
      </w:r>
    </w:p>
    <w:bookmarkEnd w:id="38"/>
    <w:bookmarkEnd w:id="39"/>
    <w:bookmarkEnd w:id="40"/>
    <w:bookmarkStart w:id="48" w:name="traitement-des-résultats2"/>
    <w:p>
      <w:pPr>
        <w:pStyle w:val="Titre1"/>
      </w:pPr>
      <w:r>
        <w:t xml:space="preserve">Traitement des résultats</w:t>
      </w:r>
      <w:r>
        <w:rPr>
          <w:rStyle w:val="FootnoteReference"/>
        </w:rPr>
        <w:footnoteReference w:id="41"/>
      </w:r>
    </w:p>
    <w:bookmarkStart w:id="46" w:name="définition-des-variables"/>
    <w:p>
      <w:pPr>
        <w:pStyle w:val="Titre2"/>
      </w:pPr>
      <w:r>
        <w:t xml:space="preserve">Définition des variables</w:t>
      </w:r>
    </w:p>
    <w:p>
      <w:pPr>
        <w:numPr>
          <w:ilvl w:val="0"/>
          <w:numId w:val="1002"/>
        </w:numPr>
      </w:pPr>
      <w:r>
        <w:t xml:space="preserve">Le pourcentage de floraison pour chaque organe ou cep observé</w:t>
      </w:r>
      <w:r>
        <w:t xml:space="preserve"> </w:t>
      </w:r>
      <w:r>
        <w:rPr>
          <w:b/>
          <w:bCs/>
        </w:rPr>
        <w:t xml:space="preserve">OPEN_FLO_PC</w:t>
      </w:r>
      <w:r>
        <w:t xml:space="preserve"> </w:t>
      </w:r>
      <w:r>
        <w:t xml:space="preserve">(CO_356:1000181) est la donnée de base. La correspondance avec le stade BBCH se fait avec le chiffre des dizaines : 10% de floraison correspond au stade BBCH61, 20% au stade BBCH62 etc.</w:t>
      </w:r>
    </w:p>
    <w:p>
      <w:pPr>
        <w:numPr>
          <w:ilvl w:val="0"/>
          <w:numId w:val="1002"/>
        </w:numPr>
      </w:pPr>
      <w:r>
        <w:t xml:space="preserve">La date de mi-floraison</w:t>
      </w:r>
      <w:r>
        <w:t xml:space="preserve"> </w:t>
      </w:r>
      <w:r>
        <w:rPr>
          <w:b/>
          <w:bCs/>
        </w:rPr>
        <w:t xml:space="preserve">FLO_50</w:t>
      </w:r>
      <w:r>
        <w:t xml:space="preserve"> </w:t>
      </w:r>
      <w:r>
        <w:t xml:space="preserve">(CO_356:1000011) est la date calendaire où le seuil de 50% des fleurs ouvertes est atteint . Elle est calculée par interpolation entre les valeurs observées avant et après 50% des effectifs observés ayant atteint le stade floraison.</w:t>
      </w:r>
    </w:p>
    <w:p>
      <w:pPr>
        <w:pStyle w:val="CaptionedFigure"/>
      </w:pPr>
      <w:r>
        <w:drawing>
          <wp:inline>
            <wp:extent cx="4600575" cy="2901049"/>
            <wp:effectExtent b="0" l="0" r="0" t="0"/>
            <wp:docPr descr="Exemple d’interpolation entre observations" title="" id="44" name="Picture"/>
            <a:graphic>
              <a:graphicData uri="http://schemas.openxmlformats.org/drawingml/2006/picture">
                <pic:pic>
                  <pic:nvPicPr>
                    <pic:cNvPr descr="images/pheno_interpolation.jpg" id="45" name="Picture"/>
                    <pic:cNvPicPr>
                      <a:picLocks noChangeArrowheads="1" noChangeAspect="1"/>
                    </pic:cNvPicPr>
                  </pic:nvPicPr>
                  <pic:blipFill>
                    <a:blip r:embed="rId43"/>
                    <a:stretch>
                      <a:fillRect/>
                    </a:stretch>
                  </pic:blipFill>
                  <pic:spPr bwMode="auto">
                    <a:xfrm>
                      <a:off x="0" y="0"/>
                      <a:ext cx="4600575" cy="2901049"/>
                    </a:xfrm>
                    <a:prstGeom prst="rect">
                      <a:avLst/>
                    </a:prstGeom>
                    <a:noFill/>
                    <a:ln w="9525">
                      <a:noFill/>
                      <a:headEnd/>
                      <a:tailEnd/>
                    </a:ln>
                  </pic:spPr>
                </pic:pic>
              </a:graphicData>
            </a:graphic>
          </wp:inline>
        </w:drawing>
      </w:r>
    </w:p>
    <w:p>
      <w:pPr>
        <w:pStyle w:val="ImageCaption"/>
      </w:pPr>
      <w:r>
        <w:t xml:space="preserve">Exemple d’interpolation entre observations</w:t>
      </w:r>
    </w:p>
    <w:p>
      <w:pPr>
        <w:numPr>
          <w:ilvl w:val="0"/>
          <w:numId w:val="1003"/>
        </w:numPr>
      </w:pPr>
      <w:r>
        <w:t xml:space="preserve">La date de début floraison</w:t>
      </w:r>
      <w:r>
        <w:t xml:space="preserve"> </w:t>
      </w:r>
      <w:r>
        <w:rPr>
          <w:b/>
          <w:bCs/>
        </w:rPr>
        <w:t xml:space="preserve">FLO_START</w:t>
      </w:r>
      <w:r>
        <w:t xml:space="preserve"> </w:t>
      </w:r>
      <w:r>
        <w:t xml:space="preserve">(CO_356:1000083) est la date calendaire où les premières fleurs ouvertes sont observées (BBCH61).</w:t>
      </w:r>
    </w:p>
    <w:p>
      <w:pPr>
        <w:numPr>
          <w:ilvl w:val="0"/>
          <w:numId w:val="1003"/>
        </w:numPr>
      </w:pPr>
      <w:r>
        <w:t xml:space="preserve">Pour les comparaisons inter-annuelles, la date de mi-floraison calendaire peut être exprimée en nombre de jours depuis le début de l’année</w:t>
      </w:r>
      <w:r>
        <w:t xml:space="preserve"> </w:t>
      </w:r>
      <w:r>
        <w:rPr>
          <w:b/>
          <w:bCs/>
        </w:rPr>
        <w:t xml:space="preserve">DOY_FLO</w:t>
      </w:r>
      <w:r>
        <w:t xml:space="preserve"> </w:t>
      </w:r>
      <w:r>
        <w:t xml:space="preserve">(CO_356:1000077). Par exemple, le 16 juin 2024 est le jour 168 de l’année.</w:t>
      </w:r>
    </w:p>
    <w:bookmarkEnd w:id="46"/>
    <w:bookmarkStart w:id="47" w:name="interprétation-des-résultats"/>
    <w:p>
      <w:pPr>
        <w:pStyle w:val="Titre2"/>
      </w:pPr>
      <w:r>
        <w:t xml:space="preserve">Interprétation des résultats</w:t>
      </w:r>
    </w:p>
    <w:p>
      <w:pPr>
        <w:pStyle w:val="FirstParagraph"/>
      </w:pPr>
      <w:r>
        <w:t xml:space="preserve">La date de floraison de la vigne est un indicateur clé du déroulement du cycle phénologique et permet d’évaluer la précocité de parcelle ou de la modalité. Elle permet d’estimer la date de vendange (environ 90 à 100 jours plus tard selon les cépages et conditions climatiques).</w:t>
      </w:r>
    </w:p>
    <w:bookmarkEnd w:id="47"/>
    <w:bookmarkEnd w:id="48"/>
    <w:bookmarkStart w:id="63" w:name="compléments-dinformation"/>
    <w:p>
      <w:pPr>
        <w:pStyle w:val="Titre1"/>
      </w:pPr>
      <w:r>
        <w:t xml:space="preserve">Compléments d’information</w:t>
      </w:r>
    </w:p>
    <w:bookmarkStart w:id="52" w:name="ressources-complémentaires"/>
    <w:p>
      <w:pPr>
        <w:pStyle w:val="Titre2"/>
      </w:pPr>
      <w:r>
        <w:t xml:space="preserve">Ressources complémentaires</w:t>
      </w:r>
    </w:p>
    <w:p>
      <w:pPr>
        <w:numPr>
          <w:ilvl w:val="0"/>
          <w:numId w:val="1004"/>
        </w:numPr>
      </w:pPr>
      <w:hyperlink r:id="rId49">
        <w:r>
          <w:rPr>
            <w:rStyle w:val="Hyperlink"/>
          </w:rPr>
          <w:t xml:space="preserve">Poster des stades phénologiques de la vigne</w:t>
        </w:r>
      </w:hyperlink>
      <w:r>
        <w:t xml:space="preserve"> </w:t>
      </w:r>
      <w:r>
        <w:t xml:space="preserve">sur le site IFV.</w:t>
      </w:r>
    </w:p>
    <w:p>
      <w:pPr>
        <w:numPr>
          <w:ilvl w:val="0"/>
          <w:numId w:val="1004"/>
        </w:numPr>
      </w:pPr>
      <w:hyperlink r:id="rId50">
        <w:r>
          <w:rPr>
            <w:rStyle w:val="Hyperlink"/>
          </w:rPr>
          <w:t xml:space="preserve">Stades phénologiques repères de la vigne</w:t>
        </w:r>
      </w:hyperlink>
      <w:r>
        <w:t xml:space="preserve">, fiche de l’Agroscope de Changins.</w:t>
      </w:r>
    </w:p>
    <w:p>
      <w:pPr>
        <w:numPr>
          <w:ilvl w:val="0"/>
          <w:numId w:val="1004"/>
        </w:numPr>
      </w:pPr>
      <w:r>
        <w:t xml:space="preserve">film</w:t>
      </w:r>
      <w:r>
        <w:t xml:space="preserve"> </w:t>
      </w:r>
      <w:hyperlink r:id="rId51">
        <w:r>
          <w:rPr>
            <w:rStyle w:val="Hyperlink"/>
          </w:rPr>
          <w:t xml:space="preserve">du bourgeon au raisin</w:t>
        </w:r>
      </w:hyperlink>
      <w:r>
        <w:t xml:space="preserve">, réalisé en 2004 par Jean-Louis Porreye et Clotilde Verriès. Copyright Montpellier Supagro-Inra, 2004.</w:t>
      </w:r>
    </w:p>
    <w:bookmarkEnd w:id="52"/>
    <w:bookmarkStart w:id="54" w:name="source-et-mise-à-jour"/>
    <w:p>
      <w:pPr>
        <w:pStyle w:val="Titre2"/>
      </w:pPr>
      <w:r>
        <w:t xml:space="preserve">Source et mise à jour</w:t>
      </w:r>
    </w:p>
    <w:p>
      <w:pPr>
        <w:pStyle w:val="FirstParagraph"/>
      </w:pPr>
      <w:r>
        <w:t xml:space="preserve">Cette fiche est disponible sur ce</w:t>
      </w:r>
      <w:r>
        <w:t xml:space="preserve"> </w:t>
      </w:r>
      <w:hyperlink r:id="rId53">
        <w:r>
          <w:rPr>
            <w:rStyle w:val="Hyperlink"/>
          </w:rPr>
          <w:t xml:space="preserve">site web</w:t>
        </w:r>
      </w:hyperlink>
      <w:r>
        <w:t xml:space="preserve">.</w:t>
      </w:r>
    </w:p>
    <w:p>
      <w:pPr>
        <w:pStyle w:val="Corpsdetexte"/>
      </w:pPr>
      <w:r>
        <w:t xml:space="preserve">N’oubliez pas de vérifier les mises à jours disponible !</w:t>
      </w:r>
    </w:p>
    <w:bookmarkEnd w:id="54"/>
    <w:bookmarkStart w:id="62" w:name="références"/>
    <w:p>
      <w:pPr>
        <w:pStyle w:val="Titre2"/>
      </w:pPr>
      <w:r>
        <w:t xml:space="preserve">Références</w:t>
      </w:r>
    </w:p>
    <w:bookmarkStart w:id="61" w:name="refs"/>
    <w:bookmarkStart w:id="56" w:name="ref-destrac-irvine2019"/>
    <w:p>
      <w:pPr>
        <w:pStyle w:val="Bibliography"/>
      </w:pPr>
      <w:r>
        <w:t xml:space="preserve">1.</w:t>
      </w:r>
      <w:r>
        <w:t xml:space="preserve"> </w:t>
      </w:r>
      <w:r>
        <w:t xml:space="preserve">	</w:t>
      </w:r>
      <w:r>
        <w:t xml:space="preserve">Destrac-Irvine, A.; Barbeau, G.; De Resseguier, L.; Dufourcq, T.; Dumas, V.; Garcia De Cortazar-Atauri, I.; Ojeda, H.; Saurin, N.; Van Leeuwen, C.; Duchêne, É. Measuring the phenology to more effectively manage the vineyard.</w:t>
      </w:r>
      <w:r>
        <w:t xml:space="preserve"> </w:t>
      </w:r>
      <w:r>
        <w:rPr>
          <w:i/>
          <w:iCs/>
        </w:rPr>
        <w:t xml:space="preserve">IVES Technical Reviews, vine and wine</w:t>
      </w:r>
      <w:r>
        <w:t xml:space="preserve"> </w:t>
      </w:r>
      <w:r>
        <w:rPr>
          <w:b/>
          <w:bCs/>
        </w:rPr>
        <w:t xml:space="preserve">2019</w:t>
      </w:r>
      <w:r>
        <w:t xml:space="preserve">, doi:</w:t>
      </w:r>
      <w:hyperlink r:id="rId55">
        <w:r>
          <w:rPr>
            <w:rStyle w:val="Hyperlink"/>
          </w:rPr>
          <w:t xml:space="preserve">10.20870/IVES-TR.2019.2586</w:t>
        </w:r>
      </w:hyperlink>
      <w:r>
        <w:t xml:space="preserve">.</w:t>
      </w:r>
    </w:p>
    <w:bookmarkEnd w:id="56"/>
    <w:bookmarkStart w:id="58" w:name="ref-roussey"/>
    <w:p>
      <w:pPr>
        <w:pStyle w:val="Bibliography"/>
      </w:pPr>
      <w:r>
        <w:t xml:space="preserve">2.</w:t>
      </w:r>
      <w:r>
        <w:t xml:space="preserve"> </w:t>
      </w:r>
      <w:r>
        <w:t xml:space="preserve">	</w:t>
      </w:r>
      <w:r>
        <w:t xml:space="preserve">Roussey, C.; Delpuech, X.; Raynal, M.</w:t>
      </w:r>
      <w:r>
        <w:t xml:space="preserve"> </w:t>
      </w:r>
      <w:hyperlink r:id="rId57">
        <w:r>
          <w:rPr>
            <w:rStyle w:val="Hyperlink"/>
          </w:rPr>
          <w:t xml:space="preserve">Phenological Scales of Grapevine</w:t>
        </w:r>
      </w:hyperlink>
      <w:r>
        <w:t xml:space="preserve">.</w:t>
      </w:r>
    </w:p>
    <w:bookmarkEnd w:id="58"/>
    <w:bookmarkStart w:id="60" w:name="ref-lorenz1995"/>
    <w:p>
      <w:pPr>
        <w:pStyle w:val="Bibliography"/>
      </w:pPr>
      <w:r>
        <w:t xml:space="preserve">3.</w:t>
      </w:r>
      <w:r>
        <w:t xml:space="preserve"> </w:t>
      </w:r>
      <w:r>
        <w:t xml:space="preserve">	</w:t>
      </w:r>
      <w:r>
        <w:t xml:space="preserve">Lorenz, D.H.; Eichhorn, K.W.; Bleiholder, H.; Klose, R.; Meier, U.; Weber, E. Growth Stages of the Grapevine: Phenological Growth Stages of the Grapevine (Vitis Vinifera L. Ssp. Vinifera)</w:t>
      </w:r>
      <w:r>
        <w:t xml:space="preserve">Codes and Descriptions According to the Extended BBCH Scale.</w:t>
      </w:r>
      <w:r>
        <w:t xml:space="preserve"> </w:t>
      </w:r>
      <w:r>
        <w:rPr>
          <w:i/>
          <w:iCs/>
        </w:rPr>
        <w:t xml:space="preserve">Australian Journal of Grape and Wine Research</w:t>
      </w:r>
      <w:r>
        <w:t xml:space="preserve"> </w:t>
      </w:r>
      <w:r>
        <w:rPr>
          <w:b/>
          <w:bCs/>
        </w:rPr>
        <w:t xml:space="preserve">1995</w:t>
      </w:r>
      <w:r>
        <w:t xml:space="preserve">,</w:t>
      </w:r>
      <w:r>
        <w:t xml:space="preserve"> </w:t>
      </w:r>
      <w:r>
        <w:rPr>
          <w:i/>
          <w:iCs/>
        </w:rPr>
        <w:t xml:space="preserve">1</w:t>
      </w:r>
      <w:r>
        <w:t xml:space="preserve">, 100‑103, doi:</w:t>
      </w:r>
      <w:hyperlink r:id="rId59">
        <w:r>
          <w:rPr>
            <w:rStyle w:val="Hyperlink"/>
          </w:rPr>
          <w:t xml:space="preserve">10.1111/j.1755-0238.1995.tb00085.x</w:t>
        </w:r>
      </w:hyperlink>
      <w:r>
        <w:t xml:space="preserve">.</w:t>
      </w:r>
    </w:p>
    <w:bookmarkEnd w:id="60"/>
    <w:bookmarkEnd w:id="61"/>
    <w:bookmarkEnd w:id="62"/>
    <w:bookmarkEnd w:id="63"/>
    <w:sectPr w:rsidR="00D811EB" w:rsidSect="003905BB">
      <w:headerReference r:id="rId9" w:type="even"/>
      <w:headerReference r:id="rId11" w:type="default"/>
      <w:footerReference r:id="rId14" w:type="even"/>
      <w:footerReference r:id="rId13" w:type="default"/>
      <w:headerReference r:id="rId10" w:type="first"/>
      <w:footerReference r:id="rId12" w:type="first"/>
      <w:pgSz w:h="15840" w:w="12240"/>
      <w:pgMar w:bottom="1440" w:footer="454" w:gutter="0" w:header="720" w:left="1080" w:right="108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692875" w14:textId="77777777" w:rsidR="007C57A7" w:rsidRDefault="007C57A7">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7144FE" w14:textId="77777777" w:rsidR="003F52F5" w:rsidRDefault="00A13D49" w:rsidP="009D1282">
    <w:pPr>
      <w:pStyle w:val="Pieddepage"/>
      <w:jc w:val="center"/>
    </w:pPr>
    <w:r>
      <w:t>-</w:t>
    </w:r>
    <w:r>
      <w:fldChar w:fldCharType="begin"/>
    </w:r>
    <w:r>
      <w:instrText xml:space="preserve"> PAGE   \* MERGEFORMAT </w:instrText>
    </w:r>
    <w:r>
      <w:fldChar w:fldCharType="separate"/>
    </w:r>
    <w:r>
      <w:rPr>
        <w:noProof/>
      </w:rPr>
      <w:t>1</w:t>
    </w:r>
    <w:r>
      <w:fldChar w:fldCharType="end"/>
    </w:r>
    <w:r>
      <w:t>/</w:t>
    </w:r>
    <w:fldSimple w:instr=" NUMPAGES   \* MERGEFORMAT ">
      <w:r>
        <w:rPr>
          <w:noProof/>
        </w:rPr>
        <w:t>1</w:t>
      </w:r>
    </w:fldSimple>
    <w:r>
      <w:t>-</w:t>
    </w:r>
  </w:p>
  <w:p w14:paraId="62708C0E" w14:textId="77777777" w:rsidR="006A0086" w:rsidRPr="009D1282" w:rsidRDefault="007C57A7" w:rsidP="007C57A7">
    <w:pPr>
      <w:pStyle w:val="Pieddepage"/>
      <w:jc w:val="right"/>
      <w:rPr>
        <w:sz w:val="18"/>
        <w:szCs w:val="18"/>
      </w:rPr>
    </w:pPr>
    <w:r>
      <w:rPr>
        <w:b/>
        <w:bCs/>
        <w:sz w:val="18"/>
        <w:szCs w:val="18"/>
      </w:rPr>
      <w:t>CC BY-SA 4.0</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984F86" w14:textId="77777777" w:rsidR="007C57A7" w:rsidRDefault="007C57A7">
    <w:pPr>
      <w:pStyle w:val="Pieddepage"/>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9">
    <w:p>
      <w:pPr>
        <w:pStyle w:val="FootnoteText"/>
      </w:pPr>
      <w:r>
        <w:rPr>
          <w:rStyle w:val="FootnoteReference"/>
        </w:rPr>
        <w:footnoteRef/>
      </w:r>
      <w:r>
        <w:t xml:space="preserve"> </w:t>
      </w:r>
      <w:r>
        <w:t xml:space="preserve">La</w:t>
      </w:r>
      <w:r>
        <w:t xml:space="preserve"> </w:t>
      </w:r>
      <w:hyperlink r:id="rId30">
        <w:r>
          <w:rPr>
            <w:rStyle w:val="Hyperlink"/>
          </w:rPr>
          <w:t xml:space="preserve">ressource</w:t>
        </w:r>
      </w:hyperlink>
      <w:r>
        <w:t xml:space="preserve"> </w:t>
      </w:r>
      <w:r>
        <w:t xml:space="preserve">[2]</w:t>
      </w:r>
      <w:r>
        <w:t xml:space="preserve"> </w:t>
      </w:r>
      <w:r>
        <w:t xml:space="preserve">décrivant cette échelle (et les autres échelles existantes pour la vigne) est accessible sur le web.</w:t>
      </w:r>
    </w:p>
  </w:footnote>
  <w:footnote w:id="41">
    <w:p>
      <w:pPr>
        <w:pStyle w:val="FootnoteText"/>
      </w:pPr>
      <w:r>
        <w:rPr>
          <w:rStyle w:val="FootnoteReference"/>
        </w:rPr>
        <w:footnoteRef/>
      </w:r>
      <w:r>
        <w:t xml:space="preserve"> </w:t>
      </w:r>
      <w:r>
        <w:t xml:space="preserve">Les identifiants des variables dans le référentiel de la crop ontology</w:t>
      </w:r>
      <w:r>
        <w:t xml:space="preserve"> </w:t>
      </w:r>
      <w:hyperlink r:id="rId42">
        <w:r>
          <w:rPr>
            <w:rStyle w:val="Hyperlink"/>
          </w:rPr>
          <w:t xml:space="preserve">VITIS356</w:t>
        </w:r>
      </w:hyperlink>
      <w:r>
        <w:t xml:space="preserve"> </w:t>
      </w:r>
      <w:r>
        <w:t xml:space="preserve">sont indiqués entre parenthèse.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FFCC0D" w14:textId="77777777" w:rsidR="007C57A7" w:rsidRDefault="007C57A7">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3D8279" w14:textId="77777777" w:rsidR="007C57A7" w:rsidRDefault="007C57A7">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556AFD" w14:textId="77777777" w:rsidR="007C57A7" w:rsidRDefault="007C57A7">
    <w:pPr>
      <w:pStyle w:val="En-tte"/>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C310EC42"/>
    <w:lvl w:ilvl="0">
      <w:start w:val="1"/>
      <w:numFmt w:val="decimal"/>
      <w:lvlText w:val="%1."/>
      <w:lvlJc w:val="left"/>
      <w:pPr>
        <w:tabs>
          <w:tab w:pos="1800" w:val="num"/>
        </w:tabs>
        <w:ind w:hanging="360" w:left="1800"/>
      </w:pPr>
    </w:lvl>
  </w:abstractNum>
  <w:abstractNum w15:restartNumberingAfterBreak="0" w:abstractNumId="1">
    <w:nsid w:val="FFFFFF7D"/>
    <w:multiLevelType w:val="singleLevel"/>
    <w:tmpl w:val="E4089024"/>
    <w:lvl w:ilvl="0">
      <w:start w:val="1"/>
      <w:numFmt w:val="decimal"/>
      <w:lvlText w:val="%1."/>
      <w:lvlJc w:val="left"/>
      <w:pPr>
        <w:tabs>
          <w:tab w:pos="1440" w:val="num"/>
        </w:tabs>
        <w:ind w:hanging="360" w:left="1440"/>
      </w:pPr>
    </w:lvl>
  </w:abstractNum>
  <w:abstractNum w15:restartNumberingAfterBreak="0" w:abstractNumId="2">
    <w:nsid w:val="FFFFFF7E"/>
    <w:multiLevelType w:val="singleLevel"/>
    <w:tmpl w:val="FB12693A"/>
    <w:lvl w:ilvl="0">
      <w:start w:val="1"/>
      <w:numFmt w:val="decimal"/>
      <w:pStyle w:val="Listenumros3"/>
      <w:lvlText w:val="%1."/>
      <w:lvlJc w:val="left"/>
      <w:pPr>
        <w:tabs>
          <w:tab w:pos="1080" w:val="num"/>
        </w:tabs>
        <w:ind w:hanging="360" w:left="1080"/>
      </w:pPr>
    </w:lvl>
  </w:abstractNum>
  <w:abstractNum w15:restartNumberingAfterBreak="0" w:abstractNumId="3">
    <w:nsid w:val="FFFFFF7F"/>
    <w:multiLevelType w:val="singleLevel"/>
    <w:tmpl w:val="38441652"/>
    <w:lvl w:ilvl="0">
      <w:start w:val="1"/>
      <w:numFmt w:val="decimal"/>
      <w:pStyle w:val="Listenumros2"/>
      <w:lvlText w:val="%1."/>
      <w:lvlJc w:val="left"/>
      <w:pPr>
        <w:tabs>
          <w:tab w:pos="720" w:val="num"/>
        </w:tabs>
        <w:ind w:hanging="360" w:left="720"/>
      </w:pPr>
    </w:lvl>
  </w:abstractNum>
  <w:abstractNum w15:restartNumberingAfterBreak="0"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15:restartNumberingAfterBreak="0" w:abstractNumId="5">
    <w:nsid w:val="FFFFFF82"/>
    <w:multiLevelType w:val="singleLevel"/>
    <w:tmpl w:val="F3EAFDEC"/>
    <w:lvl w:ilvl="0">
      <w:start w:val="1"/>
      <w:numFmt w:val="bullet"/>
      <w:pStyle w:val="Listepuces3"/>
      <w:lvlText w:val=""/>
      <w:lvlJc w:val="left"/>
      <w:pPr>
        <w:tabs>
          <w:tab w:pos="1080" w:val="num"/>
        </w:tabs>
        <w:ind w:hanging="360" w:left="1080"/>
      </w:pPr>
      <w:rPr>
        <w:rFonts w:ascii="Symbol" w:hAnsi="Symbol" w:hint="default"/>
      </w:rPr>
    </w:lvl>
  </w:abstractNum>
  <w:abstractNum w15:restartNumberingAfterBreak="0" w:abstractNumId="6">
    <w:nsid w:val="FFFFFF83"/>
    <w:multiLevelType w:val="singleLevel"/>
    <w:tmpl w:val="3D1EFFD4"/>
    <w:lvl w:ilvl="0">
      <w:start w:val="1"/>
      <w:numFmt w:val="bullet"/>
      <w:pStyle w:val="Listepuces2"/>
      <w:lvlText w:val=""/>
      <w:lvlJc w:val="left"/>
      <w:pPr>
        <w:tabs>
          <w:tab w:pos="720" w:val="num"/>
        </w:tabs>
        <w:ind w:hanging="360" w:left="720"/>
      </w:pPr>
      <w:rPr>
        <w:rFonts w:ascii="Symbol" w:hAnsi="Symbol" w:hint="default"/>
      </w:rPr>
    </w:lvl>
  </w:abstractNum>
  <w:abstractNum w15:restartNumberingAfterBreak="0" w:abstractNumId="7">
    <w:nsid w:val="FFFFFF88"/>
    <w:multiLevelType w:val="singleLevel"/>
    <w:tmpl w:val="D0A62B40"/>
    <w:lvl w:ilvl="0">
      <w:start w:val="1"/>
      <w:numFmt w:val="decimal"/>
      <w:pStyle w:val="Listenumros"/>
      <w:lvlText w:val="%1."/>
      <w:lvlJc w:val="left"/>
      <w:pPr>
        <w:tabs>
          <w:tab w:pos="360" w:val="num"/>
        </w:tabs>
        <w:ind w:hanging="360" w:left="360"/>
      </w:pPr>
    </w:lvl>
  </w:abstractNum>
  <w:abstractNum w15:restartNumberingAfterBreak="0" w:abstractNumId="8">
    <w:nsid w:val="FFFFFF89"/>
    <w:multiLevelType w:val="singleLevel"/>
    <w:tmpl w:val="29761A62"/>
    <w:lvl w:ilvl="0">
      <w:start w:val="1"/>
      <w:numFmt w:val="bullet"/>
      <w:pStyle w:val="Listepuces"/>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034428362" w:numId="1">
    <w:abstractNumId w:val="8"/>
  </w:num>
  <w:num w16cid:durableId="49308092" w:numId="2">
    <w:abstractNumId w:val="6"/>
  </w:num>
  <w:num w16cid:durableId="82535311" w:numId="3">
    <w:abstractNumId w:val="5"/>
  </w:num>
  <w:num w16cid:durableId="725881029" w:numId="4">
    <w:abstractNumId w:val="4"/>
  </w:num>
  <w:num w16cid:durableId="2100102728" w:numId="5">
    <w:abstractNumId w:val="7"/>
  </w:num>
  <w:num w16cid:durableId="1144393015" w:numId="6">
    <w:abstractNumId w:val="3"/>
  </w:num>
  <w:num w16cid:durableId="109786419" w:numId="7">
    <w:abstractNumId w:val="2"/>
  </w:num>
  <w:num w16cid:durableId="574628751" w:numId="8">
    <w:abstractNumId w:val="1"/>
  </w:num>
  <w:num w16cid:durableId="2028291403" w:numId="9">
    <w:abstractNumId w:val="0"/>
  </w: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00F6"/>
    <w:rsid w:val="00034616"/>
    <w:rsid w:val="0006063C"/>
    <w:rsid w:val="0015074B"/>
    <w:rsid w:val="00237E62"/>
    <w:rsid w:val="0024505F"/>
    <w:rsid w:val="0025448C"/>
    <w:rsid w:val="0029639D"/>
    <w:rsid w:val="003150A9"/>
    <w:rsid w:val="00326F90"/>
    <w:rsid w:val="003362E3"/>
    <w:rsid w:val="003905BB"/>
    <w:rsid w:val="003E4CC1"/>
    <w:rsid w:val="003F52F5"/>
    <w:rsid w:val="00524418"/>
    <w:rsid w:val="005326A4"/>
    <w:rsid w:val="0054382C"/>
    <w:rsid w:val="0063066D"/>
    <w:rsid w:val="00631A70"/>
    <w:rsid w:val="00647167"/>
    <w:rsid w:val="00687F95"/>
    <w:rsid w:val="006A0086"/>
    <w:rsid w:val="00730D5F"/>
    <w:rsid w:val="007C3444"/>
    <w:rsid w:val="007C57A7"/>
    <w:rsid w:val="007D518E"/>
    <w:rsid w:val="0082600C"/>
    <w:rsid w:val="008A4521"/>
    <w:rsid w:val="008B0E61"/>
    <w:rsid w:val="008E6D1B"/>
    <w:rsid w:val="009D1282"/>
    <w:rsid w:val="009E755B"/>
    <w:rsid w:val="00A13D49"/>
    <w:rsid w:val="00A5547A"/>
    <w:rsid w:val="00AA1D8D"/>
    <w:rsid w:val="00AC3C66"/>
    <w:rsid w:val="00B16F7A"/>
    <w:rsid w:val="00B24F69"/>
    <w:rsid w:val="00B45D16"/>
    <w:rsid w:val="00B47730"/>
    <w:rsid w:val="00BC7AAE"/>
    <w:rsid w:val="00BF396F"/>
    <w:rsid w:val="00C408A2"/>
    <w:rsid w:val="00C578C0"/>
    <w:rsid w:val="00CB0664"/>
    <w:rsid w:val="00CF241D"/>
    <w:rsid w:val="00D17CA5"/>
    <w:rsid w:val="00D22480"/>
    <w:rsid w:val="00D25947"/>
    <w:rsid w:val="00D36659"/>
    <w:rsid w:val="00D811EB"/>
    <w:rsid w:val="00D853E3"/>
    <w:rsid w:val="00DF4E41"/>
    <w:rsid w:val="00E76580"/>
    <w:rsid w:val="00E9061D"/>
    <w:rsid w:val="00EB181D"/>
    <w:rsid w:val="00EC03B5"/>
    <w:rsid w:val="00F24BFC"/>
    <w:rsid w:val="00FC693F"/>
    <w:rsid w:val="00FE60DA"/>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2"/>
        <w:szCs w:val="22"/>
        <w:lang w:bidi="ar-SA" w:eastAsia="en-US" w:val="fr"/>
      </w:rPr>
    </w:rPrDefault>
    <w:pPrDefault>
      <w:pPr>
        <w:spacing w:after="200" w:line="276"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D853E3"/>
    <w:rPr>
      <w:rFonts w:ascii="Calibri" w:cs="Arial" w:hAnsi="Calibri"/>
      <w:lang w:val="fr"/>
    </w:rPr>
  </w:style>
  <w:style w:styleId="Titre1" w:type="paragraph">
    <w:name w:val="heading 1"/>
    <w:basedOn w:val="Normal"/>
    <w:next w:val="Normal"/>
    <w:link w:val="Titre1Car"/>
    <w:uiPriority w:val="9"/>
    <w:qFormat/>
    <w:rsid w:val="000200F6"/>
    <w:pPr>
      <w:keepNext/>
      <w:keepLines/>
      <w:spacing w:after="0" w:before="480"/>
      <w:outlineLvl w:val="0"/>
    </w:pPr>
    <w:rPr>
      <w:rFonts w:cstheme="majorBidi" w:eastAsiaTheme="majorEastAsia"/>
      <w:b/>
      <w:bCs/>
      <w:color w:themeColor="accent1" w:themeShade="BF" w:val="365F91"/>
      <w:sz w:val="28"/>
      <w:szCs w:val="28"/>
    </w:rPr>
  </w:style>
  <w:style w:styleId="Titre2" w:type="paragraph">
    <w:name w:val="heading 2"/>
    <w:basedOn w:val="Normal"/>
    <w:next w:val="Normal"/>
    <w:link w:val="Titre2Car"/>
    <w:uiPriority w:val="9"/>
    <w:unhideWhenUsed/>
    <w:qFormat/>
    <w:rsid w:val="000200F6"/>
    <w:pPr>
      <w:keepNext/>
      <w:keepLines/>
      <w:spacing w:after="0" w:before="200"/>
      <w:outlineLvl w:val="1"/>
    </w:pPr>
    <w:rPr>
      <w:rFonts w:cstheme="majorBidi" w:eastAsiaTheme="majorEastAsia"/>
      <w:b/>
      <w:bCs/>
      <w:color w:themeColor="accent1" w:val="4F81BD"/>
      <w:sz w:val="26"/>
      <w:szCs w:val="26"/>
    </w:rPr>
  </w:style>
  <w:style w:styleId="Titre3" w:type="paragraph">
    <w:name w:val="heading 3"/>
    <w:basedOn w:val="Normal"/>
    <w:next w:val="Normal"/>
    <w:link w:val="Titre3Car"/>
    <w:uiPriority w:val="9"/>
    <w:unhideWhenUsed/>
    <w:qFormat/>
    <w:rsid w:val="000200F6"/>
    <w:pPr>
      <w:keepNext/>
      <w:keepLines/>
      <w:spacing w:after="0" w:before="200"/>
      <w:outlineLvl w:val="2"/>
    </w:pPr>
    <w:rPr>
      <w:rFonts w:cstheme="majorBidi" w:eastAsiaTheme="majorEastAsia"/>
      <w:b/>
      <w:bCs/>
      <w:color w:themeColor="accent1" w:val="4F81BD"/>
    </w:rPr>
  </w:style>
  <w:style w:styleId="Titre4" w:type="paragraph">
    <w:name w:val="heading 4"/>
    <w:basedOn w:val="Normal"/>
    <w:next w:val="Normal"/>
    <w:link w:val="Titre4C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Titre5" w:type="paragraph">
    <w:name w:val="heading 5"/>
    <w:basedOn w:val="Normal"/>
    <w:next w:val="Normal"/>
    <w:link w:val="Titre5C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Titre6" w:type="paragraph">
    <w:name w:val="heading 6"/>
    <w:basedOn w:val="Normal"/>
    <w:next w:val="Normal"/>
    <w:link w:val="Titre6C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Titre7" w:type="paragraph">
    <w:name w:val="heading 7"/>
    <w:basedOn w:val="Normal"/>
    <w:next w:val="Normal"/>
    <w:link w:val="Titre7C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Titre8" w:type="paragraph">
    <w:name w:val="heading 8"/>
    <w:basedOn w:val="Normal"/>
    <w:next w:val="Normal"/>
    <w:link w:val="Titre8C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Titre9" w:type="paragraph">
    <w:name w:val="heading 9"/>
    <w:basedOn w:val="Normal"/>
    <w:next w:val="Normal"/>
    <w:link w:val="Titre9C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Policepardfaut" w:type="character">
    <w:name w:val="Default Paragraph Font"/>
    <w:uiPriority w:val="1"/>
    <w:semiHidden/>
    <w:unhideWhenUsed/>
  </w:style>
  <w:style w:default="1" w:styleId="TableauNormal" w:type="table">
    <w:name w:val="Normal Table"/>
    <w:uiPriority w:val="99"/>
    <w:semiHidden/>
    <w:unhideWhenUsed/>
    <w:tblPr>
      <w:tblInd w:type="dxa" w:w="0"/>
      <w:tblCellMar>
        <w:top w:type="dxa" w:w="0"/>
        <w:left w:type="dxa" w:w="108"/>
        <w:bottom w:type="dxa" w:w="0"/>
        <w:right w:type="dxa" w:w="108"/>
      </w:tblCellMar>
    </w:tblPr>
  </w:style>
  <w:style w:default="1" w:styleId="Aucuneliste" w:type="numbering">
    <w:name w:val="No List"/>
    <w:uiPriority w:val="99"/>
    <w:semiHidden/>
    <w:unhideWhenUsed/>
  </w:style>
  <w:style w:styleId="En-tte" w:type="paragraph">
    <w:name w:val="header"/>
    <w:basedOn w:val="Normal"/>
    <w:link w:val="En-tteCar"/>
    <w:uiPriority w:val="99"/>
    <w:unhideWhenUsed/>
    <w:rsid w:val="00E618BF"/>
    <w:pPr>
      <w:tabs>
        <w:tab w:pos="4680" w:val="center"/>
        <w:tab w:pos="9360" w:val="right"/>
      </w:tabs>
      <w:spacing w:after="0" w:line="240" w:lineRule="auto"/>
    </w:pPr>
  </w:style>
  <w:style w:customStyle="1" w:styleId="En-tteCar" w:type="character">
    <w:name w:val="En-tête Car"/>
    <w:basedOn w:val="Policepardfaut"/>
    <w:link w:val="En-tte"/>
    <w:uiPriority w:val="99"/>
    <w:rsid w:val="00E618BF"/>
  </w:style>
  <w:style w:styleId="Pieddepage" w:type="paragraph">
    <w:name w:val="footer"/>
    <w:basedOn w:val="Normal"/>
    <w:link w:val="PieddepageCar"/>
    <w:uiPriority w:val="99"/>
    <w:unhideWhenUsed/>
    <w:rsid w:val="00E618BF"/>
    <w:pPr>
      <w:tabs>
        <w:tab w:pos="4680" w:val="center"/>
        <w:tab w:pos="9360" w:val="right"/>
      </w:tabs>
      <w:spacing w:after="0" w:line="240" w:lineRule="auto"/>
    </w:pPr>
  </w:style>
  <w:style w:customStyle="1" w:styleId="PieddepageCar" w:type="character">
    <w:name w:val="Pied de page Car"/>
    <w:basedOn w:val="Policepardfaut"/>
    <w:link w:val="Pieddepage"/>
    <w:uiPriority w:val="99"/>
    <w:rsid w:val="00E618BF"/>
  </w:style>
  <w:style w:styleId="Sansinterligne" w:type="paragraph">
    <w:name w:val="No Spacing"/>
    <w:uiPriority w:val="1"/>
    <w:qFormat/>
    <w:rsid w:val="00FC693F"/>
    <w:pPr>
      <w:spacing w:after="0" w:line="240" w:lineRule="auto"/>
    </w:pPr>
  </w:style>
  <w:style w:customStyle="1" w:styleId="Titre1Car" w:type="character">
    <w:name w:val="Titre 1 Car"/>
    <w:basedOn w:val="Policepardfaut"/>
    <w:link w:val="Titre1"/>
    <w:uiPriority w:val="9"/>
    <w:rsid w:val="000200F6"/>
    <w:rPr>
      <w:rFonts w:ascii="Arial" w:cstheme="majorBidi" w:eastAsiaTheme="majorEastAsia" w:hAnsi="Arial"/>
      <w:b/>
      <w:bCs/>
      <w:color w:themeColor="accent1" w:themeShade="BF" w:val="365F91"/>
      <w:sz w:val="28"/>
      <w:szCs w:val="28"/>
      <w:lang w:val="fr"/>
    </w:rPr>
  </w:style>
  <w:style w:customStyle="1" w:styleId="Titre2Car" w:type="character">
    <w:name w:val="Titre 2 Car"/>
    <w:basedOn w:val="Policepardfaut"/>
    <w:link w:val="Titre2"/>
    <w:uiPriority w:val="9"/>
    <w:rsid w:val="000200F6"/>
    <w:rPr>
      <w:rFonts w:ascii="Arial" w:cstheme="majorBidi" w:eastAsiaTheme="majorEastAsia" w:hAnsi="Arial"/>
      <w:b/>
      <w:bCs/>
      <w:color w:themeColor="accent1" w:val="4F81BD"/>
      <w:sz w:val="26"/>
      <w:szCs w:val="26"/>
      <w:lang w:val="fr"/>
    </w:rPr>
  </w:style>
  <w:style w:customStyle="1" w:styleId="Titre3Car" w:type="character">
    <w:name w:val="Titre 3 Car"/>
    <w:basedOn w:val="Policepardfaut"/>
    <w:link w:val="Titre3"/>
    <w:uiPriority w:val="9"/>
    <w:rsid w:val="000200F6"/>
    <w:rPr>
      <w:rFonts w:ascii="Arial" w:cstheme="majorBidi" w:eastAsiaTheme="majorEastAsia" w:hAnsi="Arial"/>
      <w:b/>
      <w:bCs/>
      <w:color w:themeColor="accent1" w:val="4F81BD"/>
      <w:lang w:val="fr"/>
    </w:rPr>
  </w:style>
  <w:style w:styleId="Titre" w:type="paragraph">
    <w:name w:val="Title"/>
    <w:basedOn w:val="Normal"/>
    <w:next w:val="Normal"/>
    <w:link w:val="TitreCar"/>
    <w:uiPriority w:val="10"/>
    <w:qFormat/>
    <w:rsid w:val="000200F6"/>
    <w:pPr>
      <w:pBdr>
        <w:bottom w:color="4F81BD" w:space="4" w:sz="8" w:themeColor="accent1" w:val="single"/>
      </w:pBdr>
      <w:spacing w:after="300" w:line="240" w:lineRule="auto"/>
      <w:contextualSpacing/>
    </w:pPr>
    <w:rPr>
      <w:rFonts w:cstheme="majorBidi" w:eastAsiaTheme="majorEastAsia"/>
      <w:b/>
      <w:color w:themeColor="text2" w:themeShade="BF" w:val="17365D"/>
      <w:spacing w:val="5"/>
      <w:kern w:val="28"/>
      <w:sz w:val="52"/>
      <w:szCs w:val="52"/>
    </w:rPr>
  </w:style>
  <w:style w:customStyle="1" w:styleId="TitreCar" w:type="character">
    <w:name w:val="Titre Car"/>
    <w:basedOn w:val="Policepardfaut"/>
    <w:link w:val="Titre"/>
    <w:uiPriority w:val="10"/>
    <w:rsid w:val="000200F6"/>
    <w:rPr>
      <w:rFonts w:ascii="Arial" w:cstheme="majorBidi" w:eastAsiaTheme="majorEastAsia" w:hAnsi="Arial"/>
      <w:b/>
      <w:color w:themeColor="text2" w:themeShade="BF" w:val="17365D"/>
      <w:spacing w:val="5"/>
      <w:kern w:val="28"/>
      <w:sz w:val="52"/>
      <w:szCs w:val="52"/>
      <w:lang w:val="fr"/>
    </w:rPr>
  </w:style>
  <w:style w:styleId="Sous-titre" w:type="paragraph">
    <w:name w:val="Subtitle"/>
    <w:basedOn w:val="Normal"/>
    <w:next w:val="Normal"/>
    <w:link w:val="Sous-titreC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ous-titreCar" w:type="character">
    <w:name w:val="Sous-titre Car"/>
    <w:basedOn w:val="Policepardfaut"/>
    <w:link w:val="Sous-titre"/>
    <w:uiPriority w:val="11"/>
    <w:rsid w:val="00FC693F"/>
    <w:rPr>
      <w:rFonts w:asciiTheme="majorHAnsi" w:cstheme="majorBidi" w:eastAsiaTheme="majorEastAsia" w:hAnsiTheme="majorHAnsi"/>
      <w:i/>
      <w:iCs/>
      <w:color w:themeColor="accent1" w:val="4F81BD"/>
      <w:spacing w:val="15"/>
      <w:sz w:val="24"/>
      <w:szCs w:val="24"/>
    </w:rPr>
  </w:style>
  <w:style w:styleId="Paragraphedeliste" w:type="paragraph">
    <w:name w:val="List Paragraph"/>
    <w:basedOn w:val="Normal"/>
    <w:uiPriority w:val="34"/>
    <w:qFormat/>
    <w:rsid w:val="00FC693F"/>
    <w:pPr>
      <w:ind w:left="720"/>
      <w:contextualSpacing/>
    </w:pPr>
  </w:style>
  <w:style w:styleId="Corpsdetexte" w:type="paragraph">
    <w:name w:val="Body Text"/>
    <w:basedOn w:val="Normal"/>
    <w:link w:val="CorpsdetexteCar"/>
    <w:uiPriority w:val="99"/>
    <w:unhideWhenUsed/>
    <w:rsid w:val="00AA1D8D"/>
    <w:pPr>
      <w:spacing w:after="120"/>
    </w:pPr>
  </w:style>
  <w:style w:customStyle="1" w:styleId="CorpsdetexteCar" w:type="character">
    <w:name w:val="Corps de texte Car"/>
    <w:basedOn w:val="Policepardfaut"/>
    <w:link w:val="Corpsdetexte"/>
    <w:uiPriority w:val="99"/>
    <w:rsid w:val="00AA1D8D"/>
  </w:style>
  <w:style w:styleId="Corpsdetexte2" w:type="paragraph">
    <w:name w:val="Body Text 2"/>
    <w:basedOn w:val="Normal"/>
    <w:link w:val="Corpsdetexte2Car"/>
    <w:uiPriority w:val="99"/>
    <w:unhideWhenUsed/>
    <w:rsid w:val="00AA1D8D"/>
    <w:pPr>
      <w:spacing w:after="120" w:line="480" w:lineRule="auto"/>
    </w:pPr>
  </w:style>
  <w:style w:customStyle="1" w:styleId="Corpsdetexte2Car" w:type="character">
    <w:name w:val="Corps de texte 2 Car"/>
    <w:basedOn w:val="Policepardfaut"/>
    <w:link w:val="Corpsdetexte2"/>
    <w:uiPriority w:val="99"/>
    <w:rsid w:val="00AA1D8D"/>
  </w:style>
  <w:style w:styleId="Corpsdetexte3" w:type="paragraph">
    <w:name w:val="Body Text 3"/>
    <w:basedOn w:val="Normal"/>
    <w:link w:val="Corpsdetexte3Car"/>
    <w:uiPriority w:val="99"/>
    <w:unhideWhenUsed/>
    <w:rsid w:val="00AA1D8D"/>
    <w:pPr>
      <w:spacing w:after="120"/>
    </w:pPr>
    <w:rPr>
      <w:sz w:val="16"/>
      <w:szCs w:val="16"/>
    </w:rPr>
  </w:style>
  <w:style w:customStyle="1" w:styleId="Corpsdetexte3Car" w:type="character">
    <w:name w:val="Corps de texte 3 Car"/>
    <w:basedOn w:val="Policepardfaut"/>
    <w:link w:val="Corpsdetexte3"/>
    <w:uiPriority w:val="99"/>
    <w:rsid w:val="00AA1D8D"/>
    <w:rPr>
      <w:sz w:val="16"/>
      <w:szCs w:val="16"/>
    </w:rPr>
  </w:style>
  <w:style w:styleId="Liste" w:type="paragraph">
    <w:name w:val="List"/>
    <w:basedOn w:val="Normal"/>
    <w:uiPriority w:val="99"/>
    <w:unhideWhenUsed/>
    <w:rsid w:val="00AA1D8D"/>
    <w:pPr>
      <w:ind w:hanging="360" w:left="360"/>
      <w:contextualSpacing/>
    </w:pPr>
  </w:style>
  <w:style w:styleId="Liste2" w:type="paragraph">
    <w:name w:val="List 2"/>
    <w:basedOn w:val="Normal"/>
    <w:uiPriority w:val="99"/>
    <w:unhideWhenUsed/>
    <w:rsid w:val="00326F90"/>
    <w:pPr>
      <w:ind w:hanging="360" w:left="720"/>
      <w:contextualSpacing/>
    </w:pPr>
  </w:style>
  <w:style w:styleId="Liste3" w:type="paragraph">
    <w:name w:val="List 3"/>
    <w:basedOn w:val="Normal"/>
    <w:uiPriority w:val="99"/>
    <w:unhideWhenUsed/>
    <w:rsid w:val="00326F90"/>
    <w:pPr>
      <w:ind w:hanging="360" w:left="1080"/>
      <w:contextualSpacing/>
    </w:pPr>
  </w:style>
  <w:style w:styleId="Listepuces" w:type="paragraph">
    <w:name w:val="List Bullet"/>
    <w:basedOn w:val="Normal"/>
    <w:uiPriority w:val="99"/>
    <w:unhideWhenUsed/>
    <w:rsid w:val="00326F90"/>
    <w:pPr>
      <w:numPr>
        <w:numId w:val="1"/>
      </w:numPr>
      <w:contextualSpacing/>
    </w:pPr>
  </w:style>
  <w:style w:styleId="Listepuces2" w:type="paragraph">
    <w:name w:val="List Bullet 2"/>
    <w:basedOn w:val="Normal"/>
    <w:uiPriority w:val="99"/>
    <w:unhideWhenUsed/>
    <w:rsid w:val="00326F90"/>
    <w:pPr>
      <w:numPr>
        <w:numId w:val="2"/>
      </w:numPr>
      <w:contextualSpacing/>
    </w:pPr>
  </w:style>
  <w:style w:styleId="Listepuces3" w:type="paragraph">
    <w:name w:val="List Bullet 3"/>
    <w:basedOn w:val="Normal"/>
    <w:uiPriority w:val="99"/>
    <w:unhideWhenUsed/>
    <w:rsid w:val="00326F90"/>
    <w:pPr>
      <w:numPr>
        <w:numId w:val="3"/>
      </w:numPr>
      <w:contextualSpacing/>
    </w:pPr>
  </w:style>
  <w:style w:styleId="Listenumros" w:type="paragraph">
    <w:name w:val="List Number"/>
    <w:basedOn w:val="Normal"/>
    <w:uiPriority w:val="99"/>
    <w:unhideWhenUsed/>
    <w:rsid w:val="00326F90"/>
    <w:pPr>
      <w:numPr>
        <w:numId w:val="5"/>
      </w:numPr>
      <w:contextualSpacing/>
    </w:pPr>
  </w:style>
  <w:style w:styleId="Listenumros2" w:type="paragraph">
    <w:name w:val="List Number 2"/>
    <w:basedOn w:val="Normal"/>
    <w:uiPriority w:val="99"/>
    <w:unhideWhenUsed/>
    <w:rsid w:val="0029639D"/>
    <w:pPr>
      <w:numPr>
        <w:numId w:val="6"/>
      </w:numPr>
      <w:contextualSpacing/>
    </w:pPr>
  </w:style>
  <w:style w:styleId="Listenumros3" w:type="paragraph">
    <w:name w:val="List Number 3"/>
    <w:basedOn w:val="Normal"/>
    <w:uiPriority w:val="99"/>
    <w:unhideWhenUsed/>
    <w:rsid w:val="0029639D"/>
    <w:pPr>
      <w:numPr>
        <w:numId w:val="7"/>
      </w:numPr>
      <w:contextualSpacing/>
    </w:pPr>
  </w:style>
  <w:style w:styleId="Listecontinue" w:type="paragraph">
    <w:name w:val="List Continue"/>
    <w:basedOn w:val="Normal"/>
    <w:uiPriority w:val="99"/>
    <w:unhideWhenUsed/>
    <w:rsid w:val="0029639D"/>
    <w:pPr>
      <w:spacing w:after="120"/>
      <w:ind w:left="360"/>
      <w:contextualSpacing/>
    </w:pPr>
  </w:style>
  <w:style w:styleId="Listecontinue2" w:type="paragraph">
    <w:name w:val="List Continue 2"/>
    <w:basedOn w:val="Normal"/>
    <w:uiPriority w:val="99"/>
    <w:unhideWhenUsed/>
    <w:rsid w:val="0029639D"/>
    <w:pPr>
      <w:spacing w:after="120"/>
      <w:ind w:left="720"/>
      <w:contextualSpacing/>
    </w:pPr>
  </w:style>
  <w:style w:styleId="Listecontinue3" w:type="paragraph">
    <w:name w:val="List Continue 3"/>
    <w:basedOn w:val="Normal"/>
    <w:uiPriority w:val="99"/>
    <w:unhideWhenUsed/>
    <w:rsid w:val="0029639D"/>
    <w:pPr>
      <w:spacing w:after="120"/>
      <w:ind w:left="1080"/>
      <w:contextualSpacing/>
    </w:pPr>
  </w:style>
  <w:style w:styleId="Textedemacro" w:type="paragraph">
    <w:name w:val="macro"/>
    <w:link w:val="TextedemacroC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TextedemacroCar" w:type="character">
    <w:name w:val="Texte de macro Car"/>
    <w:basedOn w:val="Policepardfaut"/>
    <w:link w:val="Textedemacro"/>
    <w:uiPriority w:val="99"/>
    <w:rsid w:val="0029639D"/>
    <w:rPr>
      <w:rFonts w:ascii="Courier" w:hAnsi="Courier"/>
      <w:sz w:val="20"/>
      <w:szCs w:val="20"/>
    </w:rPr>
  </w:style>
  <w:style w:styleId="Citation" w:type="paragraph">
    <w:name w:val="Quote"/>
    <w:basedOn w:val="Normal"/>
    <w:next w:val="Normal"/>
    <w:link w:val="CitationCar"/>
    <w:uiPriority w:val="29"/>
    <w:qFormat/>
    <w:rsid w:val="00FC693F"/>
    <w:rPr>
      <w:i/>
      <w:iCs/>
      <w:color w:themeColor="text1" w:val="000000"/>
    </w:rPr>
  </w:style>
  <w:style w:customStyle="1" w:styleId="CitationCar" w:type="character">
    <w:name w:val="Citation Car"/>
    <w:basedOn w:val="Policepardfaut"/>
    <w:link w:val="Citation"/>
    <w:uiPriority w:val="29"/>
    <w:rsid w:val="00FC693F"/>
    <w:rPr>
      <w:i/>
      <w:iCs/>
      <w:color w:themeColor="text1" w:val="000000"/>
    </w:rPr>
  </w:style>
  <w:style w:customStyle="1" w:styleId="Titre4Car" w:type="character">
    <w:name w:val="Titre 4 Car"/>
    <w:basedOn w:val="Policepardfaut"/>
    <w:link w:val="Titre4"/>
    <w:uiPriority w:val="9"/>
    <w:semiHidden/>
    <w:rsid w:val="00FC693F"/>
    <w:rPr>
      <w:rFonts w:asciiTheme="majorHAnsi" w:cstheme="majorBidi" w:eastAsiaTheme="majorEastAsia" w:hAnsiTheme="majorHAnsi"/>
      <w:b/>
      <w:bCs/>
      <w:i/>
      <w:iCs/>
      <w:color w:themeColor="accent1" w:val="4F81BD"/>
    </w:rPr>
  </w:style>
  <w:style w:customStyle="1" w:styleId="Titre5Car" w:type="character">
    <w:name w:val="Titre 5 Car"/>
    <w:basedOn w:val="Policepardfaut"/>
    <w:link w:val="Titre5"/>
    <w:uiPriority w:val="9"/>
    <w:semiHidden/>
    <w:rsid w:val="00FC693F"/>
    <w:rPr>
      <w:rFonts w:asciiTheme="majorHAnsi" w:cstheme="majorBidi" w:eastAsiaTheme="majorEastAsia" w:hAnsiTheme="majorHAnsi"/>
      <w:color w:themeColor="accent1" w:themeShade="7F" w:val="243F60"/>
    </w:rPr>
  </w:style>
  <w:style w:customStyle="1" w:styleId="Titre6Car" w:type="character">
    <w:name w:val="Titre 6 Car"/>
    <w:basedOn w:val="Policepardfaut"/>
    <w:link w:val="Titre6"/>
    <w:uiPriority w:val="9"/>
    <w:semiHidden/>
    <w:rsid w:val="00FC693F"/>
    <w:rPr>
      <w:rFonts w:asciiTheme="majorHAnsi" w:cstheme="majorBidi" w:eastAsiaTheme="majorEastAsia" w:hAnsiTheme="majorHAnsi"/>
      <w:i/>
      <w:iCs/>
      <w:color w:themeColor="accent1" w:themeShade="7F" w:val="243F60"/>
    </w:rPr>
  </w:style>
  <w:style w:customStyle="1" w:styleId="Titre7Car" w:type="character">
    <w:name w:val="Titre 7 Car"/>
    <w:basedOn w:val="Policepardfaut"/>
    <w:link w:val="Titre7"/>
    <w:uiPriority w:val="9"/>
    <w:semiHidden/>
    <w:rsid w:val="00FC693F"/>
    <w:rPr>
      <w:rFonts w:asciiTheme="majorHAnsi" w:cstheme="majorBidi" w:eastAsiaTheme="majorEastAsia" w:hAnsiTheme="majorHAnsi"/>
      <w:i/>
      <w:iCs/>
      <w:color w:themeColor="text1" w:themeTint="BF" w:val="404040"/>
    </w:rPr>
  </w:style>
  <w:style w:customStyle="1" w:styleId="Titre8Car" w:type="character">
    <w:name w:val="Titre 8 Car"/>
    <w:basedOn w:val="Policepardfaut"/>
    <w:link w:val="Titre8"/>
    <w:uiPriority w:val="9"/>
    <w:semiHidden/>
    <w:rsid w:val="00FC693F"/>
    <w:rPr>
      <w:rFonts w:asciiTheme="majorHAnsi" w:cstheme="majorBidi" w:eastAsiaTheme="majorEastAsia" w:hAnsiTheme="majorHAnsi"/>
      <w:color w:themeColor="accent1" w:val="4F81BD"/>
      <w:sz w:val="20"/>
      <w:szCs w:val="20"/>
    </w:rPr>
  </w:style>
  <w:style w:customStyle="1" w:styleId="Titre9Car" w:type="character">
    <w:name w:val="Titre 9 Car"/>
    <w:basedOn w:val="Policepardfaut"/>
    <w:link w:val="Titre9"/>
    <w:uiPriority w:val="9"/>
    <w:semiHidden/>
    <w:rsid w:val="00FC693F"/>
    <w:rPr>
      <w:rFonts w:asciiTheme="majorHAnsi" w:cstheme="majorBidi" w:eastAsiaTheme="majorEastAsia" w:hAnsiTheme="majorHAnsi"/>
      <w:i/>
      <w:iCs/>
      <w:color w:themeColor="text1" w:themeTint="BF" w:val="404040"/>
      <w:sz w:val="20"/>
      <w:szCs w:val="20"/>
    </w:rPr>
  </w:style>
  <w:style w:styleId="Lgende"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lev" w:type="character">
    <w:name w:val="Strong"/>
    <w:basedOn w:val="Policepardfaut"/>
    <w:uiPriority w:val="22"/>
    <w:qFormat/>
    <w:rsid w:val="00FC693F"/>
    <w:rPr>
      <w:b/>
      <w:bCs/>
    </w:rPr>
  </w:style>
  <w:style w:styleId="Accentuation" w:type="character">
    <w:name w:val="Emphasis"/>
    <w:basedOn w:val="Policepardfaut"/>
    <w:uiPriority w:val="20"/>
    <w:qFormat/>
    <w:rsid w:val="00FC693F"/>
    <w:rPr>
      <w:i/>
      <w:iCs/>
    </w:rPr>
  </w:style>
  <w:style w:styleId="Citationintense" w:type="paragraph">
    <w:name w:val="Intense Quote"/>
    <w:basedOn w:val="Normal"/>
    <w:next w:val="Normal"/>
    <w:link w:val="CitationintenseC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CitationintenseCar" w:type="character">
    <w:name w:val="Citation intense Car"/>
    <w:basedOn w:val="Policepardfaut"/>
    <w:link w:val="Citationintense"/>
    <w:uiPriority w:val="30"/>
    <w:rsid w:val="00FC693F"/>
    <w:rPr>
      <w:b/>
      <w:bCs/>
      <w:i/>
      <w:iCs/>
      <w:color w:themeColor="accent1" w:val="4F81BD"/>
    </w:rPr>
  </w:style>
  <w:style w:styleId="Accentuationlgre" w:type="character">
    <w:name w:val="Subtle Emphasis"/>
    <w:basedOn w:val="Policepardfaut"/>
    <w:uiPriority w:val="19"/>
    <w:qFormat/>
    <w:rsid w:val="00FC693F"/>
    <w:rPr>
      <w:i/>
      <w:iCs/>
      <w:color w:themeColor="text1" w:themeTint="7F" w:val="808080"/>
    </w:rPr>
  </w:style>
  <w:style w:styleId="Accentuationintense" w:type="character">
    <w:name w:val="Intense Emphasis"/>
    <w:basedOn w:val="Policepardfaut"/>
    <w:uiPriority w:val="21"/>
    <w:qFormat/>
    <w:rsid w:val="00FC693F"/>
    <w:rPr>
      <w:b/>
      <w:bCs/>
      <w:i/>
      <w:iCs/>
      <w:color w:themeColor="accent1" w:val="4F81BD"/>
    </w:rPr>
  </w:style>
  <w:style w:styleId="Rfrencelgre" w:type="character">
    <w:name w:val="Subtle Reference"/>
    <w:basedOn w:val="Policepardfaut"/>
    <w:uiPriority w:val="31"/>
    <w:qFormat/>
    <w:rsid w:val="00FC693F"/>
    <w:rPr>
      <w:smallCaps/>
      <w:color w:themeColor="accent2" w:val="C0504D"/>
      <w:u w:val="single"/>
    </w:rPr>
  </w:style>
  <w:style w:styleId="Rfrenceintense" w:type="character">
    <w:name w:val="Intense Reference"/>
    <w:basedOn w:val="Policepardfaut"/>
    <w:uiPriority w:val="32"/>
    <w:qFormat/>
    <w:rsid w:val="00FC693F"/>
    <w:rPr>
      <w:b/>
      <w:bCs/>
      <w:smallCaps/>
      <w:color w:themeColor="accent2" w:val="C0504D"/>
      <w:spacing w:val="5"/>
      <w:u w:val="single"/>
    </w:rPr>
  </w:style>
  <w:style w:styleId="Titredulivre" w:type="character">
    <w:name w:val="Book Title"/>
    <w:basedOn w:val="Policepardfaut"/>
    <w:uiPriority w:val="33"/>
    <w:qFormat/>
    <w:rsid w:val="00FC693F"/>
    <w:rPr>
      <w:b/>
      <w:bCs/>
      <w:smallCaps/>
      <w:spacing w:val="5"/>
    </w:rPr>
  </w:style>
  <w:style w:styleId="En-ttedetabledesmatires" w:type="paragraph">
    <w:name w:val="TOC Heading"/>
    <w:basedOn w:val="Titre1"/>
    <w:next w:val="Normal"/>
    <w:uiPriority w:val="39"/>
    <w:semiHidden/>
    <w:unhideWhenUsed/>
    <w:qFormat/>
    <w:rsid w:val="00FC693F"/>
    <w:pPr>
      <w:outlineLvl w:val="9"/>
    </w:pPr>
  </w:style>
  <w:style w:styleId="Grilledutableau" w:type="table">
    <w:name w:val="Table Grid"/>
    <w:basedOn w:val="Tableau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Ombrageclair" w:type="table">
    <w:name w:val="Light Shading"/>
    <w:basedOn w:val="TableauNormal"/>
    <w:uiPriority w:val="60"/>
    <w:rsid w:val="00FC693F"/>
    <w:pPr>
      <w:spacing w:after="0" w:line="240" w:lineRule="auto"/>
    </w:pPr>
    <w:rPr>
      <w:color w:themeColor="text1" w:themeShade="BF" w:val="000000"/>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Trameclaire-Accent1" w:type="table">
    <w:name w:val="Light Shading Accent 1"/>
    <w:basedOn w:val="TableauNormal"/>
    <w:uiPriority w:val="60"/>
    <w:rsid w:val="00FC693F"/>
    <w:pPr>
      <w:spacing w:after="0" w:line="240" w:lineRule="auto"/>
    </w:pPr>
    <w:rPr>
      <w:color w:themeColor="accent1" w:themeShade="BF" w:val="365F91"/>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Trameclaire-Accent2" w:type="table">
    <w:name w:val="Light Shading Accent 2"/>
    <w:basedOn w:val="TableauNormal"/>
    <w:uiPriority w:val="60"/>
    <w:rsid w:val="00FC693F"/>
    <w:pPr>
      <w:spacing w:after="0" w:line="240" w:lineRule="auto"/>
    </w:pPr>
    <w:rPr>
      <w:color w:themeColor="accent2" w:themeShade="BF" w:val="943634"/>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Trameclaire-Accent3" w:type="table">
    <w:name w:val="Light Shading Accent 3"/>
    <w:basedOn w:val="TableauNormal"/>
    <w:uiPriority w:val="60"/>
    <w:rsid w:val="00FC693F"/>
    <w:pPr>
      <w:spacing w:after="0" w:line="240" w:lineRule="auto"/>
    </w:pPr>
    <w:rPr>
      <w:color w:themeColor="accent3" w:themeShade="BF" w:val="76923C"/>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Trameclaire-Accent4" w:type="table">
    <w:name w:val="Light Shading Accent 4"/>
    <w:basedOn w:val="TableauNormal"/>
    <w:uiPriority w:val="60"/>
    <w:rsid w:val="00FC693F"/>
    <w:pPr>
      <w:spacing w:after="0" w:line="240" w:lineRule="auto"/>
    </w:pPr>
    <w:rPr>
      <w:color w:themeColor="accent4" w:themeShade="BF" w:val="5F497A"/>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Trameclaire-Accent5" w:type="table">
    <w:name w:val="Light Shading Accent 5"/>
    <w:basedOn w:val="TableauNormal"/>
    <w:uiPriority w:val="60"/>
    <w:rsid w:val="00FC693F"/>
    <w:pPr>
      <w:spacing w:after="0" w:line="240" w:lineRule="auto"/>
    </w:pPr>
    <w:rPr>
      <w:color w:themeColor="accent5" w:themeShade="BF" w:val="31849B"/>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Trameclaire-Accent6" w:type="table">
    <w:name w:val="Light Shading Accent 6"/>
    <w:basedOn w:val="TableauNormal"/>
    <w:uiPriority w:val="60"/>
    <w:rsid w:val="00FC693F"/>
    <w:pPr>
      <w:spacing w:after="0" w:line="240" w:lineRule="auto"/>
    </w:pPr>
    <w:rPr>
      <w:color w:themeColor="accent6" w:themeShade="BF" w:val="E36C0A"/>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steclaire" w:type="table">
    <w:name w:val="Light List"/>
    <w:basedOn w:val="Tableau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steclaire-Accent1" w:type="table">
    <w:name w:val="Light List Accent 1"/>
    <w:basedOn w:val="Tableau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steclaire-Accent2" w:type="table">
    <w:name w:val="Light List Accent 2"/>
    <w:basedOn w:val="Tableau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steclaire-Accent3" w:type="table">
    <w:name w:val="Light List Accent 3"/>
    <w:basedOn w:val="Tableau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steclaire-Accent4" w:type="table">
    <w:name w:val="Light List Accent 4"/>
    <w:basedOn w:val="Tableau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steclaire-Accent5" w:type="table">
    <w:name w:val="Light List Accent 5"/>
    <w:basedOn w:val="Tableau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steclaire-Accent6" w:type="table">
    <w:name w:val="Light List Accent 6"/>
    <w:basedOn w:val="Tableau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Grilleclaire" w:type="table">
    <w:name w:val="Light Grid"/>
    <w:basedOn w:val="Tableau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Grilleclaire-Accent1" w:type="table">
    <w:name w:val="Light Grid Accent 1"/>
    <w:basedOn w:val="Tableau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Grilleclaire-Accent2" w:type="table">
    <w:name w:val="Light Grid Accent 2"/>
    <w:basedOn w:val="Tableau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Grilleclaire-Accent3" w:type="table">
    <w:name w:val="Light Grid Accent 3"/>
    <w:basedOn w:val="Tableau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Grilleclaire-Accent4" w:type="table">
    <w:name w:val="Light Grid Accent 4"/>
    <w:basedOn w:val="Tableau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Grilleclaire-Accent5" w:type="table">
    <w:name w:val="Light Grid Accent 5"/>
    <w:basedOn w:val="Tableau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Grilleclaire-Accent6" w:type="table">
    <w:name w:val="Light Grid Accent 6"/>
    <w:basedOn w:val="Tableau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Tramemoyenne1" w:type="table">
    <w:name w:val="Medium Shading 1"/>
    <w:basedOn w:val="TableauNormal"/>
    <w:uiPriority w:val="63"/>
    <w:rsid w:val="00CB0664"/>
    <w:pPr>
      <w:spacing w:after="0" w:line="240" w:lineRule="auto"/>
    </w:pPr>
    <w:tblPr>
      <w:tblStyleRowBandSize w:val="1"/>
      <w:tblStyleColBandSize w:val="1"/>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Tramemoyenne1-Accent1" w:type="table">
    <w:name w:val="Medium Shading 1 Accent 1"/>
    <w:basedOn w:val="TableauNormal"/>
    <w:uiPriority w:val="63"/>
    <w:rsid w:val="00CB0664"/>
    <w:pPr>
      <w:spacing w:after="0" w:line="240" w:lineRule="auto"/>
    </w:pPr>
    <w:tblPr>
      <w:tblStyleRowBandSize w:val="1"/>
      <w:tblStyleColBandSize w:val="1"/>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Tramemoyenne1-Accent2" w:type="table">
    <w:name w:val="Medium Shading 1 Accent 2"/>
    <w:basedOn w:val="TableauNormal"/>
    <w:uiPriority w:val="63"/>
    <w:rsid w:val="00CB0664"/>
    <w:pPr>
      <w:spacing w:after="0" w:line="240" w:lineRule="auto"/>
    </w:pPr>
    <w:tblPr>
      <w:tblStyleRowBandSize w:val="1"/>
      <w:tblStyleColBandSize w:val="1"/>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Tramemoyenne1-Accent3" w:type="table">
    <w:name w:val="Medium Shading 1 Accent 3"/>
    <w:basedOn w:val="TableauNormal"/>
    <w:uiPriority w:val="63"/>
    <w:rsid w:val="00CB0664"/>
    <w:pPr>
      <w:spacing w:after="0" w:line="240" w:lineRule="auto"/>
    </w:pPr>
    <w:tblPr>
      <w:tblStyleRowBandSize w:val="1"/>
      <w:tblStyleColBandSize w:val="1"/>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Tramemoyenne1-Accent4" w:type="table">
    <w:name w:val="Medium Shading 1 Accent 4"/>
    <w:basedOn w:val="TableauNormal"/>
    <w:uiPriority w:val="63"/>
    <w:rsid w:val="00CB0664"/>
    <w:pPr>
      <w:spacing w:after="0" w:line="240" w:lineRule="auto"/>
    </w:pPr>
    <w:tblPr>
      <w:tblStyleRowBandSize w:val="1"/>
      <w:tblStyleColBandSize w:val="1"/>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Tramemoyenne1-Accent5" w:type="table">
    <w:name w:val="Medium Shading 1 Accent 5"/>
    <w:basedOn w:val="TableauNormal"/>
    <w:uiPriority w:val="63"/>
    <w:rsid w:val="00CB0664"/>
    <w:pPr>
      <w:spacing w:after="0" w:line="240" w:lineRule="auto"/>
    </w:pPr>
    <w:tblPr>
      <w:tblStyleRowBandSize w:val="1"/>
      <w:tblStyleColBandSize w:val="1"/>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Tramemoyenne1-Accent6" w:type="table">
    <w:name w:val="Medium Shading 1 Accent 6"/>
    <w:basedOn w:val="TableauNormal"/>
    <w:uiPriority w:val="63"/>
    <w:rsid w:val="00CB0664"/>
    <w:pPr>
      <w:spacing w:after="0" w:line="240" w:lineRule="auto"/>
    </w:pPr>
    <w:tblPr>
      <w:tblStyleRowBandSize w:val="1"/>
      <w:tblStyleColBandSize w:val="1"/>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Tramemoyenne2" w:type="table">
    <w:name w:val="Medium Shading 2"/>
    <w:basedOn w:val="Tableau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Tramemoyenne2-Accent1" w:type="table">
    <w:name w:val="Medium Shading 2 Accent 1"/>
    <w:basedOn w:val="Tableau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Tramemoyenne2-Accent2" w:type="table">
    <w:name w:val="Medium Shading 2 Accent 2"/>
    <w:basedOn w:val="Tableau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Tramemoyenne2-Accent3" w:type="table">
    <w:name w:val="Medium Shading 2 Accent 3"/>
    <w:basedOn w:val="Tableau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Tramemoyenne2-Accent4" w:type="table">
    <w:name w:val="Medium Shading 2 Accent 4"/>
    <w:basedOn w:val="Tableau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Tramemoyenne2-Accent5" w:type="table">
    <w:name w:val="Medium Shading 2 Accent 5"/>
    <w:basedOn w:val="Tableau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Tramemoyenne2-Accent6" w:type="table">
    <w:name w:val="Medium Shading 2 Accent 6"/>
    <w:basedOn w:val="Tableau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Listemoyenne1" w:type="table">
    <w:name w:val="Medium List 1"/>
    <w:basedOn w:val="TableauNormal"/>
    <w:uiPriority w:val="65"/>
    <w:rsid w:val="00CB0664"/>
    <w:pPr>
      <w:spacing w:after="0" w:line="240" w:lineRule="auto"/>
    </w:pPr>
    <w:rPr>
      <w:color w:themeColor="text1" w:val="000000"/>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Listemoyenne1-Accent1" w:type="table">
    <w:name w:val="Medium List 1 Accent 1"/>
    <w:basedOn w:val="TableauNormal"/>
    <w:uiPriority w:val="65"/>
    <w:rsid w:val="00CB0664"/>
    <w:pPr>
      <w:spacing w:after="0" w:line="240" w:lineRule="auto"/>
    </w:pPr>
    <w:rPr>
      <w:color w:themeColor="text1" w:val="000000"/>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Listemoyenne1-Accent2" w:type="table">
    <w:name w:val="Medium List 1 Accent 2"/>
    <w:basedOn w:val="TableauNormal"/>
    <w:uiPriority w:val="65"/>
    <w:rsid w:val="00CB0664"/>
    <w:pPr>
      <w:spacing w:after="0" w:line="240" w:lineRule="auto"/>
    </w:pPr>
    <w:rPr>
      <w:color w:themeColor="text1" w:val="000000"/>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Listemoyenne1-Accent3" w:type="table">
    <w:name w:val="Medium List 1 Accent 3"/>
    <w:basedOn w:val="TableauNormal"/>
    <w:uiPriority w:val="65"/>
    <w:rsid w:val="00CB0664"/>
    <w:pPr>
      <w:spacing w:after="0" w:line="240" w:lineRule="auto"/>
    </w:pPr>
    <w:rPr>
      <w:color w:themeColor="text1" w:val="000000"/>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Listemoyenne1-Accent4" w:type="table">
    <w:name w:val="Medium List 1 Accent 4"/>
    <w:basedOn w:val="TableauNormal"/>
    <w:uiPriority w:val="65"/>
    <w:rsid w:val="00CB0664"/>
    <w:pPr>
      <w:spacing w:after="0" w:line="240" w:lineRule="auto"/>
    </w:pPr>
    <w:rPr>
      <w:color w:themeColor="text1" w:val="000000"/>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Listemoyenne1-Accent5" w:type="table">
    <w:name w:val="Medium List 1 Accent 5"/>
    <w:basedOn w:val="TableauNormal"/>
    <w:uiPriority w:val="65"/>
    <w:rsid w:val="00CB0664"/>
    <w:pPr>
      <w:spacing w:after="0" w:line="240" w:lineRule="auto"/>
    </w:pPr>
    <w:rPr>
      <w:color w:themeColor="text1" w:val="000000"/>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Listemoyenne1-Accent6" w:type="table">
    <w:name w:val="Medium List 1 Accent 6"/>
    <w:basedOn w:val="TableauNormal"/>
    <w:uiPriority w:val="65"/>
    <w:rsid w:val="00CB0664"/>
    <w:pPr>
      <w:spacing w:after="0" w:line="240" w:lineRule="auto"/>
    </w:pPr>
    <w:rPr>
      <w:color w:themeColor="text1" w:val="000000"/>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Listemoyenne2" w:type="table">
    <w:name w:val="Medium List 2"/>
    <w:basedOn w:val="Tableau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Listemoyenne2-Accent1" w:type="table">
    <w:name w:val="Medium List 2 Accent 1"/>
    <w:basedOn w:val="Tableau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Listemoyenne2-Accent2" w:type="table">
    <w:name w:val="Medium List 2 Accent 2"/>
    <w:basedOn w:val="Tableau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Listemoyenne2-Accent3" w:type="table">
    <w:name w:val="Medium List 2 Accent 3"/>
    <w:basedOn w:val="Tableau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Listemoyenne2-Accent4" w:type="table">
    <w:name w:val="Medium List 2 Accent 4"/>
    <w:basedOn w:val="Tableau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Listemoyenne2-Accent5" w:type="table">
    <w:name w:val="Medium List 2 Accent 5"/>
    <w:basedOn w:val="Tableau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Listemoyenne2-Accent6" w:type="table">
    <w:name w:val="Medium List 2 Accent 6"/>
    <w:basedOn w:val="Tableau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Grillemoyenne1" w:type="table">
    <w:name w:val="Medium Grid 1"/>
    <w:basedOn w:val="TableauNormal"/>
    <w:uiPriority w:val="67"/>
    <w:rsid w:val="00CB0664"/>
    <w:pPr>
      <w:spacing w:after="0" w:line="240" w:lineRule="auto"/>
    </w:pPr>
    <w:tblPr>
      <w:tblStyleRowBandSize w:val="1"/>
      <w:tblStyleColBandSize w:val="1"/>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Grillemoyenne1-Accent1" w:type="table">
    <w:name w:val="Medium Grid 1 Accent 1"/>
    <w:basedOn w:val="TableauNormal"/>
    <w:uiPriority w:val="67"/>
    <w:rsid w:val="00CB0664"/>
    <w:pPr>
      <w:spacing w:after="0" w:line="240" w:lineRule="auto"/>
    </w:pPr>
    <w:tblPr>
      <w:tblStyleRowBandSize w:val="1"/>
      <w:tblStyleColBandSize w:val="1"/>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Grillemoyenne1-Accent2" w:type="table">
    <w:name w:val="Medium Grid 1 Accent 2"/>
    <w:basedOn w:val="TableauNormal"/>
    <w:uiPriority w:val="67"/>
    <w:rsid w:val="00CB0664"/>
    <w:pPr>
      <w:spacing w:after="0" w:line="240" w:lineRule="auto"/>
    </w:pPr>
    <w:tblPr>
      <w:tblStyleRowBandSize w:val="1"/>
      <w:tblStyleColBandSize w:val="1"/>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Grillemoyenne1-Accent3" w:type="table">
    <w:name w:val="Medium Grid 1 Accent 3"/>
    <w:basedOn w:val="TableauNormal"/>
    <w:uiPriority w:val="67"/>
    <w:rsid w:val="00CB0664"/>
    <w:pPr>
      <w:spacing w:after="0" w:line="240" w:lineRule="auto"/>
    </w:pPr>
    <w:tblPr>
      <w:tblStyleRowBandSize w:val="1"/>
      <w:tblStyleColBandSize w:val="1"/>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Grillemoyenne1-Accent4" w:type="table">
    <w:name w:val="Medium Grid 1 Accent 4"/>
    <w:basedOn w:val="TableauNormal"/>
    <w:uiPriority w:val="67"/>
    <w:rsid w:val="00CB0664"/>
    <w:pPr>
      <w:spacing w:after="0" w:line="240" w:lineRule="auto"/>
    </w:pPr>
    <w:tblPr>
      <w:tblStyleRowBandSize w:val="1"/>
      <w:tblStyleColBandSize w:val="1"/>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Grillemoyenne1-Accent5" w:type="table">
    <w:name w:val="Medium Grid 1 Accent 5"/>
    <w:basedOn w:val="TableauNormal"/>
    <w:uiPriority w:val="67"/>
    <w:rsid w:val="00CB0664"/>
    <w:pPr>
      <w:spacing w:after="0" w:line="240" w:lineRule="auto"/>
    </w:pPr>
    <w:tblPr>
      <w:tblStyleRowBandSize w:val="1"/>
      <w:tblStyleColBandSize w:val="1"/>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Grillemoyenne1-Accent6" w:type="table">
    <w:name w:val="Medium Grid 1 Accent 6"/>
    <w:basedOn w:val="TableauNormal"/>
    <w:uiPriority w:val="67"/>
    <w:rsid w:val="00CB0664"/>
    <w:pPr>
      <w:spacing w:after="0" w:line="240" w:lineRule="auto"/>
    </w:pPr>
    <w:tblPr>
      <w:tblStyleRowBandSize w:val="1"/>
      <w:tblStyleColBandSize w:val="1"/>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Grillemoyenne2" w:type="table">
    <w:name w:val="Medium Grid 2"/>
    <w:basedOn w:val="Tableau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Grillemoyenne2-Accent1" w:type="table">
    <w:name w:val="Medium Grid 2 Accent 1"/>
    <w:basedOn w:val="Tableau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Grillemoyenne2-Accent2" w:type="table">
    <w:name w:val="Medium Grid 2 Accent 2"/>
    <w:basedOn w:val="Tableau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Grillemoyenne2-Accent3" w:type="table">
    <w:name w:val="Medium Grid 2 Accent 3"/>
    <w:basedOn w:val="Tableau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Grillemoyenne2-Accent4" w:type="table">
    <w:name w:val="Medium Grid 2 Accent 4"/>
    <w:basedOn w:val="Tableau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Grillemoyenne2-Accent5" w:type="table">
    <w:name w:val="Medium Grid 2 Accent 5"/>
    <w:basedOn w:val="Tableau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Grillemoyenne2-Accent6" w:type="table">
    <w:name w:val="Medium Grid 2 Accent 6"/>
    <w:basedOn w:val="Tableau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Grillemoyenne3" w:type="table">
    <w:name w:val="Medium Grid 3"/>
    <w:basedOn w:val="Tableau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Grillemoyenne3-Accent1" w:type="table">
    <w:name w:val="Medium Grid 3 Accent 1"/>
    <w:basedOn w:val="Tableau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Grillemoyenne3-Accent2" w:type="table">
    <w:name w:val="Medium Grid 3 Accent 2"/>
    <w:basedOn w:val="Tableau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Grillemoyenne3-Accent3" w:type="table">
    <w:name w:val="Medium Grid 3 Accent 3"/>
    <w:basedOn w:val="Tableau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Grillemoyenne3-Accent4" w:type="table">
    <w:name w:val="Medium Grid 3 Accent 4"/>
    <w:basedOn w:val="Tableau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Grillemoyenne3-Accent5" w:type="table">
    <w:name w:val="Medium Grid 3 Accent 5"/>
    <w:basedOn w:val="Tableau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Grillemoyenne3-Accent6" w:type="table">
    <w:name w:val="Medium Grid 3 Accent 6"/>
    <w:basedOn w:val="Tableau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Listefonce" w:type="table">
    <w:name w:val="Dark List"/>
    <w:basedOn w:val="TableauNormal"/>
    <w:uiPriority w:val="70"/>
    <w:rsid w:val="00CB0664"/>
    <w:pPr>
      <w:spacing w:after="0" w:line="240" w:lineRule="auto"/>
    </w:pPr>
    <w:rPr>
      <w:color w:themeColor="background1" w:val="FFFFFF"/>
    </w:rPr>
    <w:tblPr>
      <w:tblStyleRowBandSize w:val="1"/>
      <w:tblStyleColBandSize w:val="1"/>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Listefonce-Accent1" w:type="table">
    <w:name w:val="Dark List Accent 1"/>
    <w:basedOn w:val="TableauNormal"/>
    <w:uiPriority w:val="70"/>
    <w:rsid w:val="00CB0664"/>
    <w:pPr>
      <w:spacing w:after="0" w:line="240" w:lineRule="auto"/>
    </w:pPr>
    <w:rPr>
      <w:color w:themeColor="background1" w:val="FFFFFF"/>
    </w:rPr>
    <w:tblPr>
      <w:tblStyleRowBandSize w:val="1"/>
      <w:tblStyleColBandSize w:val="1"/>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Listefonce-Accent2" w:type="table">
    <w:name w:val="Dark List Accent 2"/>
    <w:basedOn w:val="TableauNormal"/>
    <w:uiPriority w:val="70"/>
    <w:rsid w:val="00CB0664"/>
    <w:pPr>
      <w:spacing w:after="0" w:line="240" w:lineRule="auto"/>
    </w:pPr>
    <w:rPr>
      <w:color w:themeColor="background1" w:val="FFFFFF"/>
    </w:rPr>
    <w:tblPr>
      <w:tblStyleRowBandSize w:val="1"/>
      <w:tblStyleColBandSize w:val="1"/>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Listefonce-Accent3" w:type="table">
    <w:name w:val="Dark List Accent 3"/>
    <w:basedOn w:val="TableauNormal"/>
    <w:uiPriority w:val="70"/>
    <w:rsid w:val="00CB0664"/>
    <w:pPr>
      <w:spacing w:after="0" w:line="240" w:lineRule="auto"/>
    </w:pPr>
    <w:rPr>
      <w:color w:themeColor="background1" w:val="FFFFFF"/>
    </w:rPr>
    <w:tblPr>
      <w:tblStyleRowBandSize w:val="1"/>
      <w:tblStyleColBandSize w:val="1"/>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Listefonce-Accent4" w:type="table">
    <w:name w:val="Dark List Accent 4"/>
    <w:basedOn w:val="TableauNormal"/>
    <w:uiPriority w:val="70"/>
    <w:rsid w:val="00CB0664"/>
    <w:pPr>
      <w:spacing w:after="0" w:line="240" w:lineRule="auto"/>
    </w:pPr>
    <w:rPr>
      <w:color w:themeColor="background1" w:val="FFFFFF"/>
    </w:rPr>
    <w:tblPr>
      <w:tblStyleRowBandSize w:val="1"/>
      <w:tblStyleColBandSize w:val="1"/>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Listefonce-Accent5" w:type="table">
    <w:name w:val="Dark List Accent 5"/>
    <w:basedOn w:val="TableauNormal"/>
    <w:uiPriority w:val="70"/>
    <w:rsid w:val="00CB0664"/>
    <w:pPr>
      <w:spacing w:after="0" w:line="240" w:lineRule="auto"/>
    </w:pPr>
    <w:rPr>
      <w:color w:themeColor="background1" w:val="FFFFFF"/>
    </w:rPr>
    <w:tblPr>
      <w:tblStyleRowBandSize w:val="1"/>
      <w:tblStyleColBandSize w:val="1"/>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Listefonce-Accent6" w:type="table">
    <w:name w:val="Dark List Accent 6"/>
    <w:basedOn w:val="TableauNormal"/>
    <w:uiPriority w:val="70"/>
    <w:rsid w:val="00CB0664"/>
    <w:pPr>
      <w:spacing w:after="0" w:line="240" w:lineRule="auto"/>
    </w:pPr>
    <w:rPr>
      <w:color w:themeColor="background1" w:val="FFFFFF"/>
    </w:rPr>
    <w:tblPr>
      <w:tblStyleRowBandSize w:val="1"/>
      <w:tblStyleColBandSize w:val="1"/>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Tramecouleur" w:type="table">
    <w:name w:val="Colorful Shading"/>
    <w:basedOn w:val="Tableau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Tramecouleur-Accent1" w:type="table">
    <w:name w:val="Colorful Shading Accent 1"/>
    <w:basedOn w:val="Tableau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Tramecouleur-Accent2" w:type="table">
    <w:name w:val="Colorful Shading Accent 2"/>
    <w:basedOn w:val="Tableau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Tramecouleur-Accent3" w:type="table">
    <w:name w:val="Colorful Shading Accent 3"/>
    <w:basedOn w:val="TableauNormal"/>
    <w:uiPriority w:val="71"/>
    <w:rsid w:val="00CB0664"/>
    <w:pPr>
      <w:spacing w:after="0" w:line="240" w:lineRule="auto"/>
    </w:pPr>
    <w:rPr>
      <w:color w:themeColor="text1" w:val="000000"/>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Tramecouleur-Accent4" w:type="table">
    <w:name w:val="Colorful Shading Accent 4"/>
    <w:basedOn w:val="TableauNormal"/>
    <w:uiPriority w:val="71"/>
    <w:rsid w:val="00CB0664"/>
    <w:pPr>
      <w:spacing w:after="0" w:line="240" w:lineRule="auto"/>
    </w:pPr>
    <w:rPr>
      <w:color w:themeColor="text1" w:val="000000"/>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Tramecouleur-Accent5" w:type="table">
    <w:name w:val="Colorful Shading Accent 5"/>
    <w:basedOn w:val="TableauNormal"/>
    <w:uiPriority w:val="71"/>
    <w:rsid w:val="00CB0664"/>
    <w:pPr>
      <w:spacing w:after="0" w:line="240" w:lineRule="auto"/>
    </w:pPr>
    <w:rPr>
      <w:color w:themeColor="text1" w:val="000000"/>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Tramecouleur-Accent6" w:type="table">
    <w:name w:val="Colorful Shading Accent 6"/>
    <w:basedOn w:val="TableauNormal"/>
    <w:uiPriority w:val="71"/>
    <w:rsid w:val="00CB0664"/>
    <w:pPr>
      <w:spacing w:after="0" w:line="240" w:lineRule="auto"/>
    </w:pPr>
    <w:rPr>
      <w:color w:themeColor="text1" w:val="000000"/>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Listecouleur" w:type="table">
    <w:name w:val="Colorful List"/>
    <w:basedOn w:val="TableauNormal"/>
    <w:uiPriority w:val="72"/>
    <w:rsid w:val="00CB0664"/>
    <w:pPr>
      <w:spacing w:after="0" w:line="240" w:lineRule="auto"/>
    </w:pPr>
    <w:rPr>
      <w:color w:themeColor="text1" w:val="000000"/>
    </w:rPr>
    <w:tblPr>
      <w:tblStyleRowBandSize w:val="1"/>
      <w:tblStyleColBandSize w:val="1"/>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Listecouleur-Accent1" w:type="table">
    <w:name w:val="Colorful List Accent 1"/>
    <w:basedOn w:val="TableauNormal"/>
    <w:uiPriority w:val="72"/>
    <w:rsid w:val="00CB0664"/>
    <w:pPr>
      <w:spacing w:after="0" w:line="240" w:lineRule="auto"/>
    </w:pPr>
    <w:rPr>
      <w:color w:themeColor="text1" w:val="000000"/>
    </w:rPr>
    <w:tblPr>
      <w:tblStyleRowBandSize w:val="1"/>
      <w:tblStyleColBandSize w:val="1"/>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Listecouleur-Accent2" w:type="table">
    <w:name w:val="Colorful List Accent 2"/>
    <w:basedOn w:val="TableauNormal"/>
    <w:uiPriority w:val="72"/>
    <w:rsid w:val="00CB0664"/>
    <w:pPr>
      <w:spacing w:after="0" w:line="240" w:lineRule="auto"/>
    </w:pPr>
    <w:rPr>
      <w:color w:themeColor="text1" w:val="000000"/>
    </w:rPr>
    <w:tblPr>
      <w:tblStyleRowBandSize w:val="1"/>
      <w:tblStyleColBandSize w:val="1"/>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Listecouleur-Accent3" w:type="table">
    <w:name w:val="Colorful List Accent 3"/>
    <w:basedOn w:val="TableauNormal"/>
    <w:uiPriority w:val="72"/>
    <w:rsid w:val="00CB0664"/>
    <w:pPr>
      <w:spacing w:after="0" w:line="240" w:lineRule="auto"/>
    </w:pPr>
    <w:rPr>
      <w:color w:themeColor="text1" w:val="000000"/>
    </w:rPr>
    <w:tblPr>
      <w:tblStyleRowBandSize w:val="1"/>
      <w:tblStyleColBandSize w:val="1"/>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Listecouleur-Accent4" w:type="table">
    <w:name w:val="Colorful List Accent 4"/>
    <w:basedOn w:val="TableauNormal"/>
    <w:uiPriority w:val="72"/>
    <w:rsid w:val="00CB0664"/>
    <w:pPr>
      <w:spacing w:after="0" w:line="240" w:lineRule="auto"/>
    </w:pPr>
    <w:rPr>
      <w:color w:themeColor="text1" w:val="000000"/>
    </w:rPr>
    <w:tblPr>
      <w:tblStyleRowBandSize w:val="1"/>
      <w:tblStyleColBandSize w:val="1"/>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Listecouleur-Accent5" w:type="table">
    <w:name w:val="Colorful List Accent 5"/>
    <w:basedOn w:val="TableauNormal"/>
    <w:uiPriority w:val="72"/>
    <w:rsid w:val="00CB0664"/>
    <w:pPr>
      <w:spacing w:after="0" w:line="240" w:lineRule="auto"/>
    </w:pPr>
    <w:rPr>
      <w:color w:themeColor="text1" w:val="000000"/>
    </w:rPr>
    <w:tblPr>
      <w:tblStyleRowBandSize w:val="1"/>
      <w:tblStyleColBandSize w:val="1"/>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Listecouleur-Accent6" w:type="table">
    <w:name w:val="Colorful List Accent 6"/>
    <w:basedOn w:val="TableauNormal"/>
    <w:uiPriority w:val="72"/>
    <w:rsid w:val="00CB0664"/>
    <w:pPr>
      <w:spacing w:after="0" w:line="240" w:lineRule="auto"/>
    </w:pPr>
    <w:rPr>
      <w:color w:themeColor="text1" w:val="000000"/>
    </w:rPr>
    <w:tblPr>
      <w:tblStyleRowBandSize w:val="1"/>
      <w:tblStyleColBandSize w:val="1"/>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Grillecouleur" w:type="table">
    <w:name w:val="Colorful Grid"/>
    <w:basedOn w:val="Tableau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Grillecouleur-Accent1" w:type="table">
    <w:name w:val="Colorful Grid Accent 1"/>
    <w:basedOn w:val="Tableau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Grillecouleur-Accent2" w:type="table">
    <w:name w:val="Colorful Grid Accent 2"/>
    <w:basedOn w:val="Tableau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Grillecouleur-Accent3" w:type="table">
    <w:name w:val="Colorful Grid Accent 3"/>
    <w:basedOn w:val="Tableau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Grillecouleur-Accent4" w:type="table">
    <w:name w:val="Colorful Grid Accent 4"/>
    <w:basedOn w:val="Tableau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Grillecouleur-Accent5" w:type="table">
    <w:name w:val="Colorful Grid Accent 5"/>
    <w:basedOn w:val="Tableau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Grillecouleur-Accent6" w:type="table">
    <w:name w:val="Colorful Grid Accent 6"/>
    <w:basedOn w:val="Tableau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Lienhypertexte1" w:type="paragraph">
    <w:name w:val="Lien hypertexte1"/>
    <w:basedOn w:val="Normal"/>
    <w:qFormat/>
    <w:rsid w:val="00D17CA5"/>
    <w:rPr>
      <w:color w:val="0070C0"/>
      <w:u w:val="single"/>
    </w:rPr>
  </w:style>
  <w:style w:styleId="TableauListe3-Accentuation1" w:type="table">
    <w:name w:val="List Table 3 Accent 1"/>
    <w:basedOn w:val="TableauNormal"/>
    <w:uiPriority w:val="48"/>
    <w:rsid w:val="00D36659"/>
    <w:pPr>
      <w:spacing w:after="0" w:line="240" w:lineRule="auto"/>
    </w:pPr>
    <w:tblPr>
      <w:tblStyleRowBandSize w:val="1"/>
      <w:tblStyleColBandSize w:val="1"/>
      <w:tblBorders>
        <w:top w:color="4F81BD" w:space="0" w:sz="4" w:themeColor="accent1" w:val="single"/>
        <w:left w:color="4F81BD" w:space="0" w:sz="4" w:themeColor="accent1" w:val="single"/>
        <w:bottom w:color="4F81BD" w:space="0" w:sz="4" w:themeColor="accent1" w:val="single"/>
        <w:right w:color="4F81BD" w:space="0" w:sz="4" w:themeColor="accent1" w:val="single"/>
      </w:tblBorders>
    </w:tblPr>
    <w:tblStylePr w:type="firstRow">
      <w:rPr>
        <w:b/>
        <w:bCs/>
        <w:color w:themeColor="background1" w:val="FFFFFF"/>
      </w:rPr>
      <w:tblPr/>
      <w:tcPr>
        <w:shd w:color="auto" w:fill="4F81BD" w:themeFill="accent1" w:val="clear"/>
      </w:tcPr>
    </w:tblStylePr>
    <w:tblStylePr w:type="lastRow">
      <w:rPr>
        <w:b/>
        <w:bCs/>
      </w:rPr>
      <w:tblPr/>
      <w:tcPr>
        <w:tcBorders>
          <w:top w:color="4F81BD" w:space="0" w:sz="4" w:themeColor="accent1"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4F81BD" w:space="0" w:sz="4" w:themeColor="accent1" w:val="single"/>
          <w:right w:color="4F81BD" w:space="0" w:sz="4" w:themeColor="accent1" w:val="single"/>
        </w:tcBorders>
      </w:tcPr>
    </w:tblStylePr>
    <w:tblStylePr w:type="band1Horz">
      <w:tblPr/>
      <w:tcPr>
        <w:tcBorders>
          <w:top w:color="4F81BD" w:space="0" w:sz="4" w:themeColor="accent1" w:val="single"/>
          <w:bottom w:color="4F81BD" w:space="0" w:sz="4" w:themeColor="accent1"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4F81BD" w:space="0" w:sz="4" w:themeColor="accent1" w:val="double"/>
          <w:left w:val="nil"/>
        </w:tcBorders>
      </w:tcPr>
    </w:tblStylePr>
    <w:tblStylePr w:type="swCell">
      <w:tblPr/>
      <w:tcPr>
        <w:tcBorders>
          <w:top w:color="4F81BD" w:space="0" w:sz="4" w:themeColor="accent1" w:val="double"/>
          <w:right w:val="nil"/>
        </w:tcBorders>
      </w:tcPr>
    </w:tblStylePr>
  </w:style>
  <w:style w:styleId="TableauListe4-Accentuation1" w:type="table">
    <w:name w:val="List Table 4 Accent 1"/>
    <w:basedOn w:val="TableauNormal"/>
    <w:uiPriority w:val="49"/>
    <w:rsid w:val="00D36659"/>
    <w:pPr>
      <w:spacing w:after="0" w:line="240" w:lineRule="auto"/>
    </w:pPr>
    <w:tblPr>
      <w:tblStyleRowBandSize w:val="1"/>
      <w:tblStyleColBandSize w:val="1"/>
      <w:tblBorders>
        <w:top w:color="95B3D7" w:space="0" w:sz="4" w:themeColor="accent1" w:themeTint="99" w:val="single"/>
        <w:left w:color="95B3D7" w:space="0" w:sz="4" w:themeColor="accent1" w:themeTint="99" w:val="single"/>
        <w:bottom w:color="95B3D7" w:space="0" w:sz="4" w:themeColor="accent1" w:themeTint="99" w:val="single"/>
        <w:right w:color="95B3D7" w:space="0" w:sz="4" w:themeColor="accent1" w:themeTint="99" w:val="single"/>
        <w:insideH w:color="95B3D7" w:space="0" w:sz="4" w:themeColor="accent1" w:themeTint="99" w:val="single"/>
      </w:tblBorders>
    </w:tblPr>
    <w:tblStylePr w:type="firstRow">
      <w:rPr>
        <w:b/>
        <w:bCs/>
        <w:color w:themeColor="background1" w:val="FFFFFF"/>
      </w:rPr>
      <w:tblPr/>
      <w:tcPr>
        <w:tcBorders>
          <w:top w:color="4F81BD" w:space="0" w:sz="4" w:themeColor="accent1" w:val="single"/>
          <w:left w:color="4F81BD" w:space="0" w:sz="4" w:themeColor="accent1" w:val="single"/>
          <w:bottom w:color="4F81BD" w:space="0" w:sz="4" w:themeColor="accent1" w:val="single"/>
          <w:right w:color="4F81BD" w:space="0" w:sz="4" w:themeColor="accent1" w:val="single"/>
          <w:insideH w:val="nil"/>
        </w:tcBorders>
        <w:shd w:color="auto" w:fill="4F81BD" w:themeFill="accent1" w:val="clear"/>
      </w:tcPr>
    </w:tblStylePr>
    <w:tblStylePr w:type="lastRow">
      <w:rPr>
        <w:b/>
        <w:bCs/>
      </w:rPr>
      <w:tblPr/>
      <w:tcPr>
        <w:tcBorders>
          <w:top w:color="95B3D7" w:space="0" w:sz="4" w:themeColor="accent1" w:themeTint="99" w:val="double"/>
        </w:tcBorders>
      </w:tcPr>
    </w:tblStylePr>
    <w:tblStylePr w:type="firstCol">
      <w:rPr>
        <w:b/>
        <w:bCs/>
      </w:rPr>
    </w:tblStylePr>
    <w:tblStylePr w:type="lastCol">
      <w:rPr>
        <w:b/>
        <w:bCs/>
      </w:rPr>
    </w:tblStylePr>
    <w:tblStylePr w:type="band1Vert">
      <w:tblPr/>
      <w:tcPr>
        <w:shd w:color="auto" w:fill="DBE5F1" w:themeFill="accent1" w:themeFillTint="33" w:val="clear"/>
      </w:tcPr>
    </w:tblStylePr>
    <w:tblStylePr w:type="band1Horz">
      <w:tblPr/>
      <w:tcPr>
        <w:shd w:color="auto" w:fill="DBE5F1" w:themeFill="accent1" w:themeFillTint="33" w:val="clear"/>
      </w:tcPr>
    </w:tblStylePr>
  </w:style>
  <w:style w:customStyle="1" w:styleId="Style1" w:type="table">
    <w:name w:val="Style1"/>
    <w:basedOn w:val="TableauNormal"/>
    <w:uiPriority w:val="99"/>
    <w:rsid w:val="00D811EB"/>
    <w:pPr>
      <w:spacing w:after="0" w:line="240" w:lineRule="auto"/>
    </w:pPr>
    <w:tblPr/>
  </w:style>
  <w:style w:customStyle="1" w:styleId="Tableau1" w:type="table">
    <w:name w:val="Tableau1"/>
    <w:basedOn w:val="TableauNormal"/>
    <w:uiPriority w:val="99"/>
    <w:rsid w:val="00730D5F"/>
    <w:pPr>
      <w:spacing w:after="0" w:line="240" w:lineRule="auto"/>
    </w:pPr>
    <w:rPr>
      <w:rFonts w:ascii="Arial" w:hAnsi="Arial"/>
    </w:rPr>
    <w:tbl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header3.xml" Type="http://schemas.openxmlformats.org/officeDocument/2006/relationships/header" /><Relationship Id="rId11" Target="header2.xml" Type="http://schemas.openxmlformats.org/officeDocument/2006/relationships/header" /><Relationship Id="rId12" Target="footer3.xml" Type="http://schemas.openxmlformats.org/officeDocument/2006/relationships/footer" /><Relationship Id="rId13" Target="footer2.xml" Type="http://schemas.openxmlformats.org/officeDocument/2006/relationships/footer" /><Relationship Id="rId14" Target="footer1.xml" Type="http://schemas.openxmlformats.org/officeDocument/2006/relationships/footer" /><Relationship Type="http://schemas.openxmlformats.org/officeDocument/2006/relationships/image" Id="rId21" Target="media/rId21.png" /><Relationship Type="http://schemas.openxmlformats.org/officeDocument/2006/relationships/image" Id="rId32" Target="media/rId32.png" /><Relationship Type="http://schemas.openxmlformats.org/officeDocument/2006/relationships/image" Id="rId43" Target="media/rId43.jpg" /><Relationship Type="http://schemas.openxmlformats.org/officeDocument/2006/relationships/hyperlink" Id="rId50" Target="https://api.agrometeo.ch/storage/uploads/Poster_stade-pheno_Vigne_F_Ecran.pdf" TargetMode="External" /><Relationship Type="http://schemas.openxmlformats.org/officeDocument/2006/relationships/hyperlink" Id="rId42" Target="https://cropontology.org/term/CO_356:ROOT" TargetMode="External" /><Relationship Type="http://schemas.openxmlformats.org/officeDocument/2006/relationships/hyperlink" Id="rId59" Target="https://doi.org/10.1111/j.1755-0238.1995.tb00085.x" TargetMode="External" /><Relationship Type="http://schemas.openxmlformats.org/officeDocument/2006/relationships/hyperlink" Id="rId55" Target="https://doi.org/10.20870/IVES-TR.2019.2586" TargetMode="External" /><Relationship Type="http://schemas.openxmlformats.org/officeDocument/2006/relationships/hyperlink" Id="rId57" Target="https://doi.org/10.57745/YVM7VH" TargetMode="External" /><Relationship Type="http://schemas.openxmlformats.org/officeDocument/2006/relationships/hyperlink" Id="rId31" Target="https://opendata.inrae.fr/ppd-res/grapevine#bbch_grapevine_secondaryStage_BBCH65" TargetMode="External" /><Relationship Type="http://schemas.openxmlformats.org/officeDocument/2006/relationships/hyperlink" Id="rId30" Target="https://opendata.inrae.fr/ppd-res/grapevine#bbch_individualScale_grapevine" TargetMode="External" /><Relationship Type="http://schemas.openxmlformats.org/officeDocument/2006/relationships/hyperlink" Id="rId53" Target="https://vignevin.github.io/methodo/" TargetMode="External" /><Relationship Type="http://schemas.openxmlformats.org/officeDocument/2006/relationships/hyperlink" Id="rId49" Target="https://www.vignevin.com/wp-content/uploads/2019/05/Poster-stades-ph%C3%A9nologiques-de-la-vigne.pdf" TargetMode="External" /><Relationship Type="http://schemas.openxmlformats.org/officeDocument/2006/relationships/hyperlink" Id="rId51" Target="https://www.youtube.com/watch?v=GNymddTRhqw" TargetMode="External" /></Relationships>
</file>

<file path=word/_rels/footnotes.xml.rels><?xml version="1.0" encoding="UTF-8"?><Relationships xmlns="http://schemas.openxmlformats.org/package/2006/relationships"><Relationship Type="http://schemas.openxmlformats.org/officeDocument/2006/relationships/hyperlink" Id="rId50" Target="https://api.agrometeo.ch/storage/uploads/Poster_stade-pheno_Vigne_F_Ecran.pdf" TargetMode="External" /><Relationship Type="http://schemas.openxmlformats.org/officeDocument/2006/relationships/hyperlink" Id="rId42" Target="https://cropontology.org/term/CO_356:ROOT" TargetMode="External" /><Relationship Type="http://schemas.openxmlformats.org/officeDocument/2006/relationships/hyperlink" Id="rId59" Target="https://doi.org/10.1111/j.1755-0238.1995.tb00085.x" TargetMode="External" /><Relationship Type="http://schemas.openxmlformats.org/officeDocument/2006/relationships/hyperlink" Id="rId55" Target="https://doi.org/10.20870/IVES-TR.2019.2586" TargetMode="External" /><Relationship Type="http://schemas.openxmlformats.org/officeDocument/2006/relationships/hyperlink" Id="rId57" Target="https://doi.org/10.57745/YVM7VH" TargetMode="External" /><Relationship Type="http://schemas.openxmlformats.org/officeDocument/2006/relationships/hyperlink" Id="rId31" Target="https://opendata.inrae.fr/ppd-res/grapevine#bbch_grapevine_secondaryStage_BBCH65" TargetMode="External" /><Relationship Type="http://schemas.openxmlformats.org/officeDocument/2006/relationships/hyperlink" Id="rId30" Target="https://opendata.inrae.fr/ppd-res/grapevine#bbch_individualScale_grapevine" TargetMode="External" /><Relationship Type="http://schemas.openxmlformats.org/officeDocument/2006/relationships/hyperlink" Id="rId53" Target="https://vignevin.github.io/methodo/" TargetMode="External" /><Relationship Type="http://schemas.openxmlformats.org/officeDocument/2006/relationships/hyperlink" Id="rId49" Target="https://www.vignevin.com/wp-content/uploads/2019/05/Poster-stades-ph%C3%A9nologiques-de-la-vigne.pdf" TargetMode="External" /><Relationship Type="http://schemas.openxmlformats.org/officeDocument/2006/relationships/hyperlink" Id="rId51" Target="https://www.youtube.com/watch?v=GNymddTRhqw"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Pages>
  <Words>36</Words>
  <Characters>199</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Suivi de la floraison de la vigne</dc:title>
  <dc:creator/>
  <dc:language>fr</dc:language>
  <cp:keywords/>
  <dcterms:created xsi:type="dcterms:W3CDTF">2026-03-06T12:46:56Z</dcterms:created>
  <dcterms:modified xsi:type="dcterms:W3CDTF">2026-03-06T12:46:56Z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sl">
    <vt:lpwstr>agronomy.csl</vt:lpwstr>
  </property>
  <property fmtid="{D5CDD505-2E9C-101B-9397-08002B2CF9AE}" pid="5" name="date">
    <vt:lpwstr>6 novembre 2025</vt:lpwstr>
  </property>
  <property fmtid="{D5CDD505-2E9C-101B-9397-08002B2CF9AE}" pid="6" name="date-format">
    <vt:lpwstr>long</vt:lpwstr>
  </property>
  <property fmtid="{D5CDD505-2E9C-101B-9397-08002B2CF9AE}" pid="7" name="editor">
    <vt:lpwstr>visual</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labels">
    <vt:lpwstr/>
  </property>
  <property fmtid="{D5CDD505-2E9C-101B-9397-08002B2CF9AE}" pid="12" name="toc-title">
    <vt:lpwstr>Table des matières</vt:lpwstr>
  </property>
</Properties>
</file>