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maturité</w:t>
      </w:r>
      <w:r>
        <w:t xml:space="preserve"> </w:t>
      </w:r>
      <w:r>
        <w:t xml:space="preserve">par</w:t>
      </w:r>
      <w:r>
        <w:t xml:space="preserve"> </w:t>
      </w:r>
      <w:r>
        <w:t xml:space="preserve">prélèvement</w:t>
      </w:r>
      <w:r>
        <w:t xml:space="preserve"> </w:t>
      </w:r>
      <w:r>
        <w:t xml:space="preserve">de</w:t>
      </w:r>
      <w:r>
        <w:t xml:space="preserve"> </w:t>
      </w:r>
      <w:r>
        <w:t xml:space="preserve">baies</w:t>
      </w:r>
    </w:p>
    <w:p>
      <w:pPr>
        <w:pStyle w:val="Date"/>
      </w:pPr>
      <w:r>
        <w:t xml:space="preserve">4</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Le suivi de maturité permet de mesurer les paramètres de composition des baies et d’apprécier la qualité de la vendange. Le suivi de maturité aide à déterminer la date optimale de récolte.</w:t>
      </w:r>
    </w:p>
    <w:bookmarkEnd w:id="20"/>
    <w:bookmarkStart w:id="21" w:name="principe-de-la-mesure"/>
    <w:p>
      <w:pPr>
        <w:pStyle w:val="Titre1"/>
      </w:pPr>
      <w:r>
        <w:t xml:space="preserve">Principe de la mesure</w:t>
      </w:r>
    </w:p>
    <w:p>
      <w:pPr>
        <w:pStyle w:val="FirstParagraph"/>
      </w:pPr>
      <w:r>
        <w:t xml:space="preserve">Le suivi maturité repose sur des prélèvements de baies, de portion de grappes ou de grappes entières. Cet échantillon est ensuite foulé pour extraire le jus de raisin qui sera analysé au laboratoire.</w:t>
      </w:r>
    </w:p>
    <w:p>
      <w:pPr>
        <w:pStyle w:val="Corpsdetexte"/>
      </w:pPr>
      <w:r>
        <w:t xml:space="preserve">Le prélèvement de 200 baies est jugé le plus fiable. Il permet en outre d’obtenir le poids moyen d’une baie, une des composantes du rendement agronomique. La taille des baies a aussi un impact sur le rendement en jus en cave (les petites baies donnent moins de jus) et sur la qualité (rapport pellicule / jus) pour les raisins rouges. C’est donc cette méthode de prélèvement qui est recommandée pour un suivi expérimental.</w:t>
      </w:r>
    </w:p>
    <w:p>
      <w:r>
        <w:br w:type="page"/>
      </w:r>
    </w:p>
    <w:bookmarkEnd w:id="21"/>
    <w:bookmarkStart w:id="37" w:name="sur-le-terrain"/>
    <w:p>
      <w:pPr>
        <w:pStyle w:val="Titre1"/>
      </w:pPr>
      <w:r>
        <w:t xml:space="preserve">Sur le terrain</w:t>
      </w:r>
    </w:p>
    <w:bookmarkStart w:id="25" w:name="échantillonnage"/>
    <w:p>
      <w:pPr>
        <w:pStyle w:val="Titre2"/>
      </w:pPr>
      <w:r>
        <w:t xml:space="preserve">Échantillonnage</w:t>
      </w:r>
    </w:p>
    <w:p>
      <w:pPr>
        <w:pStyle w:val="FirstParagraph"/>
      </w:pPr>
      <w:r>
        <w:t xml:space="preserve">La qualité des données dépend grandement de la qualité de l’échantillonnage et de sa répétabilité :</w:t>
      </w:r>
    </w:p>
    <w:p>
      <w:pPr>
        <w:pStyle w:val="Compact"/>
        <w:numPr>
          <w:ilvl w:val="0"/>
          <w:numId w:val="1001"/>
        </w:numPr>
      </w:pPr>
      <w:r>
        <w:t xml:space="preserve">Prélever toujours sur les mêmes ceps ou rangs</w:t>
      </w:r>
    </w:p>
    <w:p>
      <w:pPr>
        <w:pStyle w:val="Compact"/>
        <w:numPr>
          <w:ilvl w:val="0"/>
          <w:numId w:val="1001"/>
        </w:numPr>
      </w:pPr>
      <w:r>
        <w:t xml:space="preserve">Former les préleveurs</w:t>
      </w:r>
    </w:p>
    <w:p>
      <w:pPr>
        <w:pStyle w:val="Compact"/>
        <w:numPr>
          <w:ilvl w:val="0"/>
          <w:numId w:val="1001"/>
        </w:numPr>
      </w:pPr>
      <w:r>
        <w:t xml:space="preserve">Tenir compte d’un éventuel effet préleveur</w:t>
      </w:r>
    </w:p>
    <w:bookmarkStart w:id="22" w:name="nombre-dobservations"/>
    <w:p>
      <w:pPr>
        <w:pStyle w:val="Titre3"/>
      </w:pPr>
      <w:r>
        <w:t xml:space="preserve">Nombre d’observations</w:t>
      </w:r>
    </w:p>
    <w:p>
      <w:pPr>
        <w:pStyle w:val="FirstParagraph"/>
      </w:pPr>
      <w:r>
        <w:t xml:space="preserve">Prélever au moins 200 baies pour une parcelle, sur au moins 50 grappes. Pour les placettes de moins de 30 ceps, il est possible de ne prélever que 100 baies.</w:t>
      </w:r>
    </w:p>
    <w:bookmarkEnd w:id="22"/>
    <w:bookmarkStart w:id="23" w:name="choix-des-ceps-à-observer"/>
    <w:p>
      <w:pPr>
        <w:pStyle w:val="Titre3"/>
      </w:pPr>
      <w:r>
        <w:t xml:space="preserve">Choix des ceps à observer</w:t>
      </w:r>
    </w:p>
    <w:p>
      <w:pPr>
        <w:pStyle w:val="Compact"/>
        <w:numPr>
          <w:ilvl w:val="0"/>
          <w:numId w:val="1002"/>
        </w:numPr>
      </w:pPr>
      <w:r>
        <w:t xml:space="preserve">Eviter les rangs de bordure et les débuts et fin de rangs (laisser au moins 2 ceps)</w:t>
      </w:r>
    </w:p>
    <w:p>
      <w:pPr>
        <w:pStyle w:val="Compact"/>
        <w:numPr>
          <w:ilvl w:val="0"/>
          <w:numId w:val="1002"/>
        </w:numPr>
      </w:pPr>
      <w:r>
        <w:t xml:space="preserve">Ne pas prélever les ceps malades ou les remplaçants</w:t>
      </w:r>
    </w:p>
    <w:bookmarkEnd w:id="23"/>
    <w:bookmarkStart w:id="24" w:name="choix-des-grappes-et-des-baies"/>
    <w:p>
      <w:pPr>
        <w:pStyle w:val="Titre3"/>
      </w:pPr>
      <w:r>
        <w:t xml:space="preserve">Choix des grappes et des baies</w:t>
      </w:r>
    </w:p>
    <w:p>
      <w:pPr>
        <w:pStyle w:val="Compact"/>
        <w:numPr>
          <w:ilvl w:val="0"/>
          <w:numId w:val="1003"/>
        </w:numPr>
      </w:pPr>
      <w:r>
        <w:t xml:space="preserve">Alterner les faces de rangs</w:t>
      </w:r>
    </w:p>
    <w:p>
      <w:pPr>
        <w:pStyle w:val="Compact"/>
        <w:numPr>
          <w:ilvl w:val="0"/>
          <w:numId w:val="1003"/>
        </w:numPr>
      </w:pPr>
      <w:r>
        <w:t xml:space="preserve">Choisir les grappes au hasard, à différents niveaux sur le rameau (en évitant les grappillons)</w:t>
      </w:r>
    </w:p>
    <w:p>
      <w:pPr>
        <w:pStyle w:val="Compact"/>
        <w:numPr>
          <w:ilvl w:val="0"/>
          <w:numId w:val="1003"/>
        </w:numPr>
      </w:pPr>
      <w:r>
        <w:t xml:space="preserve">Prélever les baies au hasard en alternant haut, bas, devant, derrière et côtés des grappes. Les baies peuvent être prélevées 2 par 2.</w:t>
      </w:r>
    </w:p>
    <w:bookmarkEnd w:id="24"/>
    <w:bookmarkEnd w:id="25"/>
    <w:bookmarkStart w:id="36" w:name="mesure"/>
    <w:p>
      <w:pPr>
        <w:pStyle w:val="Titre2"/>
      </w:pPr>
      <w:r>
        <w:t xml:space="preserve">Mesure</w:t>
      </w:r>
    </w:p>
    <w:bookmarkStart w:id="29" w:name="réalisation"/>
    <w:p>
      <w:pPr>
        <w:pStyle w:val="Titre3"/>
      </w:pPr>
      <w:r>
        <w:t xml:space="preserve">Réalisation</w:t>
      </w:r>
    </w:p>
    <w:p>
      <w:pPr>
        <w:pStyle w:val="FirstParagraph"/>
      </w:pPr>
      <w:r>
        <w:t xml:space="preserve">Après le prélèvement, les analyses en laboratoire doivent être réalisées dans un délai de 24h maximum.</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Ne pas écraser les baies. Les conserver au frais, dans une glacière en évitant le contact direct avec la glace.</w:t>
            </w:r>
          </w:p>
        </w:tc>
      </w:tr>
    </w:tbl>
    <w:bookmarkEnd w:id="29"/>
    <w:bookmarkStart w:id="30" w:name="outils"/>
    <w:p>
      <w:pPr>
        <w:pStyle w:val="Titre3"/>
      </w:pPr>
      <w:r>
        <w:t xml:space="preserve">Outils</w:t>
      </w:r>
    </w:p>
    <w:p>
      <w:pPr>
        <w:pStyle w:val="Compact"/>
        <w:numPr>
          <w:ilvl w:val="0"/>
          <w:numId w:val="1004"/>
        </w:numPr>
      </w:pPr>
      <w:r>
        <w:t xml:space="preserve">sachet ou boite de prélèvement</w:t>
      </w:r>
    </w:p>
    <w:p>
      <w:pPr>
        <w:pStyle w:val="Compact"/>
        <w:numPr>
          <w:ilvl w:val="0"/>
          <w:numId w:val="1004"/>
        </w:numPr>
      </w:pPr>
      <w:r>
        <w:t xml:space="preserve">papier essuie-tout</w:t>
      </w:r>
    </w:p>
    <w:p>
      <w:pPr>
        <w:pStyle w:val="Compact"/>
        <w:numPr>
          <w:ilvl w:val="0"/>
          <w:numId w:val="1004"/>
        </w:numPr>
      </w:pPr>
      <w:r>
        <w:t xml:space="preserve">glacière</w:t>
      </w:r>
    </w:p>
    <w:bookmarkEnd w:id="30"/>
    <w:bookmarkStart w:id="31" w:name="période-de-mesure"/>
    <w:p>
      <w:pPr>
        <w:pStyle w:val="Titre3"/>
      </w:pPr>
      <w:r>
        <w:t xml:space="preserve">Période de mesure</w:t>
      </w:r>
    </w:p>
    <w:p>
      <w:pPr>
        <w:pStyle w:val="Compact"/>
        <w:numPr>
          <w:ilvl w:val="0"/>
          <w:numId w:val="1005"/>
        </w:numPr>
      </w:pPr>
      <w:r>
        <w:t xml:space="preserve">Pour un suivi de maturation, le rythme de prélèvement doit être régulier. Commencer dès la fin de la véraison (ou la semaine suivante). Au début un prélèvement par semaine suffit, mais il peut être nécessaire de passer à deux par semaine à l’approche des vendanges.</w:t>
      </w:r>
    </w:p>
    <w:p>
      <w:pPr>
        <w:pStyle w:val="Compact"/>
        <w:numPr>
          <w:ilvl w:val="0"/>
          <w:numId w:val="1005"/>
        </w:numPr>
      </w:pPr>
      <w:r>
        <w:t xml:space="preserve">Pour un point à la récolte, le prélèvement sera réalisé la veille ou le jour même de la vendange.</w:t>
      </w:r>
    </w:p>
    <w:bookmarkEnd w:id="31"/>
    <w:bookmarkStart w:id="35" w:name="aspects-pratiques"/>
    <w:p>
      <w:pPr>
        <w:pStyle w:val="Titre3"/>
      </w:pPr>
      <w:r>
        <w:t xml:space="preserve">Aspects pratiques</w:t>
      </w:r>
    </w:p>
    <w:p>
      <w:pPr>
        <w:pStyle w:val="FirstParagraph"/>
      </w:pPr>
      <w:r>
        <w:t xml:space="preserve">Stocker les baies dans des boites congélation, tapissées de papier absorbant si la vendange est mouillée. Il est aussi possible de la sécher au sèche-cheveux.</w:t>
      </w:r>
    </w:p>
    <w:p>
      <w:pPr>
        <w:pStyle w:val="Corpsdetexte"/>
      </w:pPr>
      <w:r>
        <w:t xml:space="preserve">Stocker les échantillons dans un endroit frais (10 à 15°C), mais pas au frigo : une température trop fraîche peut entraîner des précipitations tartriques au sein des raisins et fausser les analyses d’acidité.</w:t>
      </w:r>
    </w:p>
    <w:p>
      <w:pPr>
        <w:pStyle w:val="Corpsdetexte"/>
      </w:pPr>
      <w:r>
        <w:t xml:space="preserve">Utiliser un damier après récolte permet de s’assurer du nombre de baies prélevées.</w:t>
      </w:r>
    </w:p>
    <w:p>
      <w:pPr>
        <w:pStyle w:val="CaptionedFigure"/>
      </w:pPr>
      <w:r>
        <w:drawing>
          <wp:inline>
            <wp:extent cx="4196614" cy="1260909"/>
            <wp:effectExtent b="0" l="0" r="0" t="0"/>
            <wp:docPr descr="Damier pour compter les baies. Source : IFV, 2017" title="" id="33" name="Picture"/>
            <a:graphic>
              <a:graphicData uri="http://schemas.openxmlformats.org/drawingml/2006/picture">
                <pic:pic>
                  <pic:nvPicPr>
                    <pic:cNvPr descr="images/matu_damier.png" id="34" name="Picture"/>
                    <pic:cNvPicPr>
                      <a:picLocks noChangeArrowheads="1" noChangeAspect="1"/>
                    </pic:cNvPicPr>
                  </pic:nvPicPr>
                  <pic:blipFill>
                    <a:blip r:embed="rId32"/>
                    <a:stretch>
                      <a:fillRect/>
                    </a:stretch>
                  </pic:blipFill>
                  <pic:spPr bwMode="auto">
                    <a:xfrm>
                      <a:off x="0" y="0"/>
                      <a:ext cx="4196614" cy="1260909"/>
                    </a:xfrm>
                    <a:prstGeom prst="rect">
                      <a:avLst/>
                    </a:prstGeom>
                    <a:noFill/>
                    <a:ln w="9525">
                      <a:noFill/>
                      <a:headEnd/>
                      <a:tailEnd/>
                    </a:ln>
                  </pic:spPr>
                </pic:pic>
              </a:graphicData>
            </a:graphic>
          </wp:inline>
        </w:drawing>
      </w:r>
    </w:p>
    <w:p>
      <w:pPr>
        <w:pStyle w:val="ImageCaption"/>
      </w:pPr>
      <w:r>
        <w:t xml:space="preserve">Damier pour compter les baies. Source : IFV, 2017</w:t>
      </w:r>
    </w:p>
    <w:bookmarkEnd w:id="35"/>
    <w:bookmarkEnd w:id="36"/>
    <w:bookmarkEnd w:id="37"/>
    <w:bookmarkStart w:id="56" w:name="traitement-des-résultats"/>
    <w:p>
      <w:pPr>
        <w:pStyle w:val="Titre1"/>
      </w:pPr>
      <w:r>
        <w:t xml:space="preserve">Traitement des résultats</w:t>
      </w:r>
    </w:p>
    <w:bookmarkStart w:id="54" w:name="définition-des-variables"/>
    <w:p>
      <w:pPr>
        <w:pStyle w:val="Titre2"/>
      </w:pPr>
      <w:r>
        <w:t xml:space="preserve">Définition des variables</w:t>
      </w:r>
    </w:p>
    <w:p>
      <w:pPr>
        <w:pStyle w:val="FirstParagraph"/>
      </w:pPr>
      <w:r>
        <w:t xml:space="preserve">Les paramètres mesurés en laboratoire peuvent être assez nombreux. Les méthodes d’analyses peuvent varier, ainsi que les unités utilisées. Il est donc nécessaire de documenter soigneusement les analyses réalisées (méthode, unité) et d’être vigilant dans le choix des correspondances avec la Vitis Ontology.</w:t>
      </w:r>
    </w:p>
    <w:p>
      <w:pPr>
        <w:pStyle w:val="Corpsdetexte"/>
      </w:pPr>
      <w:r>
        <w:t xml:space="preserve">Le tableau ci-dessous reprend les principaux paramètres classiquement analysé.</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Paramètre</w:t>
            </w:r>
          </w:p>
        </w:tc>
        <w:tc>
          <w:tcPr/>
          <w:p>
            <w:pPr>
              <w:pStyle w:val="Compact"/>
              <w:jc w:val="left"/>
            </w:pPr>
            <w:r>
              <w:t xml:space="preserve">Vitis Ontology</w:t>
            </w:r>
          </w:p>
        </w:tc>
        <w:tc>
          <w:tcPr/>
          <w:p>
            <w:pPr>
              <w:pStyle w:val="Compact"/>
              <w:jc w:val="left"/>
            </w:pPr>
            <w:r>
              <w:t xml:space="preserve">Méthode</w:t>
            </w:r>
          </w:p>
        </w:tc>
        <w:tc>
          <w:tcPr/>
          <w:p>
            <w:pPr>
              <w:pStyle w:val="Compact"/>
              <w:jc w:val="left"/>
            </w:pPr>
            <w:r>
              <w:t xml:space="preserve">OIV</w:t>
            </w:r>
            <w:r>
              <w:t xml:space="preserve"> </w:t>
            </w:r>
            <w:r>
              <w:t xml:space="preserve">[1]</w:t>
            </w:r>
          </w:p>
        </w:tc>
        <w:tc>
          <w:tcPr/>
          <w:p>
            <w:pPr>
              <w:pStyle w:val="Compact"/>
              <w:jc w:val="left"/>
            </w:pPr>
            <w:r>
              <w:t xml:space="preserve">Unité</w:t>
            </w:r>
          </w:p>
        </w:tc>
        <w:tc>
          <w:tcPr/>
          <w:p>
            <w:pPr>
              <w:pStyle w:val="Compact"/>
              <w:jc w:val="left"/>
            </w:pPr>
            <w:r>
              <w:t xml:space="preserve">Remarque</w:t>
            </w:r>
          </w:p>
        </w:tc>
      </w:tr>
      <w:tr>
        <w:tc>
          <w:tcPr/>
          <w:p>
            <w:pPr>
              <w:pStyle w:val="Compact"/>
              <w:jc w:val="left"/>
            </w:pPr>
            <w:r>
              <w:t xml:space="preserve">Teneur en sucres</w:t>
            </w:r>
            <w:r>
              <w:rPr>
                <w:rStyle w:val="FootnoteReference"/>
              </w:rPr>
              <w:footnoteReference w:id="38"/>
            </w:r>
          </w:p>
        </w:tc>
        <w:tc>
          <w:tcPr/>
          <w:p>
            <w:pPr>
              <w:pStyle w:val="Compact"/>
              <w:jc w:val="left"/>
            </w:pPr>
            <w:hyperlink r:id="rId39">
              <w:r>
                <w:rPr>
                  <w:rStyle w:val="Hyperlink"/>
                </w:rPr>
                <w:t xml:space="preserve">BERRY_SUG_g</w:t>
              </w:r>
            </w:hyperlink>
          </w:p>
        </w:tc>
        <w:tc>
          <w:tcPr/>
          <w:p>
            <w:pPr>
              <w:pStyle w:val="Compact"/>
              <w:jc w:val="left"/>
            </w:pPr>
            <w:r>
              <w:t xml:space="preserve">Réfractomètre</w:t>
            </w:r>
          </w:p>
        </w:tc>
        <w:tc>
          <w:tcPr/>
          <w:p>
            <w:pPr>
              <w:pStyle w:val="Compact"/>
              <w:jc w:val="left"/>
            </w:pPr>
            <w:r>
              <w:t xml:space="preserve">OIV-MA-AS2-02 (Type I)</w:t>
            </w:r>
          </w:p>
        </w:tc>
        <w:tc>
          <w:tcPr/>
          <w:p>
            <w:pPr>
              <w:pStyle w:val="Compact"/>
              <w:jc w:val="left"/>
            </w:pPr>
            <w:r>
              <w:t xml:space="preserve">g.L</w:t>
            </w:r>
            <w:r>
              <w:rPr>
                <w:vertAlign w:val="superscript"/>
              </w:rPr>
              <w:t xml:space="preserve">-1</w:t>
            </w:r>
          </w:p>
        </w:tc>
        <w:tc>
          <w:tcPr/>
          <w:p>
            <w:pPr>
              <w:pStyle w:val="Compact"/>
              <w:jc w:val="left"/>
            </w:pPr>
            <w:r>
              <w:t xml:space="preserve">Voir</w:t>
            </w:r>
            <w:r>
              <w:t xml:space="preserve"> </w:t>
            </w:r>
            <w:hyperlink r:id="rId40">
              <w:r>
                <w:rPr>
                  <w:rStyle w:val="Hyperlink"/>
                </w:rPr>
                <w:t xml:space="preserve">table de correspondance</w:t>
              </w:r>
            </w:hyperlink>
            <w:r>
              <w:t xml:space="preserve"> </w:t>
            </w:r>
            <w:r>
              <w:t xml:space="preserve">avec les degrés brix (</w:t>
            </w:r>
            <w:hyperlink r:id="rId41">
              <w:r>
                <w:rPr>
                  <w:rStyle w:val="Hyperlink"/>
                </w:rPr>
                <w:t xml:space="preserve">TSS</w:t>
              </w:r>
            </w:hyperlink>
            <w:r>
              <w:t xml:space="preserve">).</w:t>
            </w:r>
          </w:p>
        </w:tc>
      </w:tr>
      <w:tr>
        <w:tc>
          <w:tcPr/>
          <w:p>
            <w:pPr>
              <w:pStyle w:val="Compact"/>
              <w:jc w:val="left"/>
            </w:pPr>
            <w:r>
              <w:t xml:space="preserve">Teneur en sucres</w:t>
            </w:r>
          </w:p>
        </w:tc>
        <w:tc>
          <w:tcPr/>
          <w:p>
            <w:pPr>
              <w:pStyle w:val="Compact"/>
              <w:jc w:val="left"/>
            </w:pPr>
            <w:hyperlink r:id="rId42">
              <w:r>
                <w:rPr>
                  <w:rStyle w:val="Hyperlink"/>
                </w:rPr>
                <w:t xml:space="preserve">GLUFRU</w:t>
              </w:r>
            </w:hyperlink>
          </w:p>
        </w:tc>
        <w:tc>
          <w:tcPr/>
          <w:p>
            <w:pPr>
              <w:pStyle w:val="Compact"/>
              <w:jc w:val="left"/>
            </w:pPr>
            <w:r>
              <w:t xml:space="preserve">Dosage enzymatique</w:t>
            </w:r>
          </w:p>
        </w:tc>
        <w:tc>
          <w:tcPr/>
          <w:p>
            <w:pPr>
              <w:pStyle w:val="Compact"/>
              <w:jc w:val="left"/>
            </w:pPr>
            <w:r>
              <w:t xml:space="preserve">OIV-MA-AS311-02 (Type II)</w:t>
            </w:r>
          </w:p>
        </w:tc>
        <w:tc>
          <w:tcPr/>
          <w:p>
            <w:pPr>
              <w:pStyle w:val="Compact"/>
              <w:jc w:val="left"/>
            </w:pPr>
            <w:r>
              <w:t xml:space="preserve">mg.L</w:t>
            </w:r>
            <w:r>
              <w:rPr>
                <w:vertAlign w:val="superscript"/>
              </w:rPr>
              <w:t xml:space="preserve">-1</w:t>
            </w:r>
          </w:p>
        </w:tc>
        <w:tc>
          <w:tcPr/>
          <w:p>
            <w:pPr>
              <w:pStyle w:val="Compact"/>
            </w:pPr>
          </w:p>
        </w:tc>
      </w:tr>
      <w:tr>
        <w:tc>
          <w:tcPr/>
          <w:p>
            <w:pPr>
              <w:pStyle w:val="Compact"/>
              <w:jc w:val="left"/>
            </w:pPr>
            <w:r>
              <w:t xml:space="preserve">Poids d’une baie</w:t>
            </w:r>
          </w:p>
        </w:tc>
        <w:tc>
          <w:tcPr/>
          <w:p>
            <w:pPr>
              <w:pStyle w:val="Compact"/>
              <w:jc w:val="left"/>
            </w:pPr>
            <w:hyperlink r:id="rId43">
              <w:r>
                <w:rPr>
                  <w:rStyle w:val="Hyperlink"/>
                </w:rPr>
                <w:t xml:space="preserve">SBER_W_g</w:t>
              </w:r>
            </w:hyperlink>
          </w:p>
        </w:tc>
        <w:tc>
          <w:tcPr/>
          <w:p>
            <w:pPr>
              <w:pStyle w:val="Compact"/>
              <w:jc w:val="left"/>
            </w:pPr>
            <w:r>
              <w:t xml:space="preserve">Balance</w:t>
            </w:r>
          </w:p>
        </w:tc>
        <w:tc>
          <w:tcPr/>
          <w:p>
            <w:pPr>
              <w:pStyle w:val="Compact"/>
            </w:pPr>
          </w:p>
        </w:tc>
        <w:tc>
          <w:tcPr/>
          <w:p>
            <w:pPr>
              <w:pStyle w:val="Compact"/>
              <w:jc w:val="left"/>
            </w:pPr>
            <w:r>
              <w:t xml:space="preserve">g</w:t>
            </w:r>
          </w:p>
        </w:tc>
        <w:tc>
          <w:tcPr/>
          <w:p>
            <w:pPr>
              <w:pStyle w:val="Compact"/>
              <w:jc w:val="left"/>
            </w:pPr>
            <w:r>
              <w:t xml:space="preserve">Attention, penser à</w:t>
            </w:r>
            <w:r>
              <w:t xml:space="preserve"> </w:t>
            </w:r>
            <w:r>
              <w:rPr>
                <w:b/>
                <w:bCs/>
              </w:rPr>
              <w:t xml:space="preserve">diviser</w:t>
            </w:r>
            <w:r>
              <w:t xml:space="preserve"> </w:t>
            </w:r>
            <w:r>
              <w:t xml:space="preserve">par le nombre de baies prélevées pour obtenir le poids unitaire d’une baie.</w:t>
            </w:r>
          </w:p>
        </w:tc>
      </w:tr>
      <w:tr>
        <w:tc>
          <w:tcPr/>
          <w:p>
            <w:pPr>
              <w:pStyle w:val="Compact"/>
              <w:jc w:val="left"/>
            </w:pPr>
            <w:r>
              <w:t xml:space="preserve">pH</w:t>
            </w:r>
          </w:p>
        </w:tc>
        <w:tc>
          <w:tcPr/>
          <w:p>
            <w:pPr>
              <w:pStyle w:val="Compact"/>
              <w:jc w:val="left"/>
            </w:pPr>
            <w:hyperlink r:id="rId44">
              <w:r>
                <w:rPr>
                  <w:rStyle w:val="Hyperlink"/>
                </w:rPr>
                <w:t xml:space="preserve">BERRY_pH</w:t>
              </w:r>
            </w:hyperlink>
          </w:p>
        </w:tc>
        <w:tc>
          <w:tcPr/>
          <w:p>
            <w:pPr>
              <w:pStyle w:val="Compact"/>
              <w:jc w:val="left"/>
            </w:pPr>
            <w:r>
              <w:t xml:space="preserve">pHmètre</w:t>
            </w:r>
          </w:p>
        </w:tc>
        <w:tc>
          <w:tcPr/>
          <w:p>
            <w:pPr>
              <w:pStyle w:val="Compact"/>
              <w:jc w:val="left"/>
            </w:pPr>
            <w:r>
              <w:t xml:space="preserve">OIV-MA-AS313-15 (Type I)</w:t>
            </w:r>
          </w:p>
        </w:tc>
        <w:tc>
          <w:tcPr/>
          <w:p>
            <w:pPr>
              <w:pStyle w:val="Compact"/>
              <w:jc w:val="left"/>
            </w:pPr>
            <w:r>
              <w:t xml:space="preserve">pH</w:t>
            </w:r>
          </w:p>
        </w:tc>
        <w:tc>
          <w:tcPr/>
          <w:p>
            <w:pPr>
              <w:pStyle w:val="Compact"/>
            </w:pPr>
          </w:p>
        </w:tc>
      </w:tr>
      <w:tr>
        <w:tc>
          <w:tcPr/>
          <w:p>
            <w:pPr>
              <w:pStyle w:val="Compact"/>
              <w:jc w:val="left"/>
            </w:pPr>
            <w:r>
              <w:t xml:space="preserve">Acidité totale</w:t>
            </w:r>
          </w:p>
        </w:tc>
        <w:tc>
          <w:tcPr/>
          <w:p>
            <w:pPr>
              <w:pStyle w:val="Compact"/>
              <w:jc w:val="left"/>
            </w:pPr>
            <w:hyperlink r:id="rId45">
              <w:r>
                <w:rPr>
                  <w:rStyle w:val="Hyperlink"/>
                </w:rPr>
                <w:t xml:space="preserve">BER_TA_man_g</w:t>
              </w:r>
            </w:hyperlink>
          </w:p>
        </w:tc>
        <w:tc>
          <w:tcPr/>
          <w:p>
            <w:pPr>
              <w:pStyle w:val="Compact"/>
              <w:jc w:val="left"/>
            </w:pPr>
            <w:r>
              <w:t xml:space="preserve">Titration manuelle</w:t>
            </w:r>
          </w:p>
        </w:tc>
        <w:tc>
          <w:tcPr/>
          <w:p>
            <w:pPr>
              <w:pStyle w:val="Compact"/>
              <w:jc w:val="left"/>
            </w:pPr>
            <w:r>
              <w:t xml:space="preserve">OIV-MA-AS313-01 (Type I)</w:t>
            </w:r>
          </w:p>
        </w:tc>
        <w:tc>
          <w:tcPr/>
          <w:p>
            <w:pPr>
              <w:pStyle w:val="Compact"/>
              <w:jc w:val="left"/>
            </w:pPr>
            <w:r>
              <w:t xml:space="preserve">g H</w:t>
            </w:r>
            <w:r>
              <w:rPr>
                <w:vertAlign w:val="subscript"/>
              </w:rPr>
              <w:t xml:space="preserve">2</w:t>
            </w:r>
            <w:r>
              <w:t xml:space="preserve">SO</w:t>
            </w:r>
            <w:r>
              <w:rPr>
                <w:vertAlign w:val="subscript"/>
              </w:rPr>
              <w:t xml:space="preserve">4</w:t>
            </w:r>
            <w:r>
              <w:t xml:space="preserve"> </w:t>
            </w:r>
            <w:r>
              <w:t xml:space="preserve">.L</w:t>
            </w:r>
            <w:r>
              <w:rPr>
                <w:vertAlign w:val="superscript"/>
              </w:rPr>
              <w:t xml:space="preserve">-1</w:t>
            </w:r>
          </w:p>
        </w:tc>
        <w:tc>
          <w:tcPr/>
          <w:p>
            <w:pPr>
              <w:pStyle w:val="Compact"/>
              <w:jc w:val="left"/>
            </w:pPr>
            <w:r>
              <w:t xml:space="preserve">doit-on faire la différence entre titration manuelle ou automatique (c’est le cas dans la vitis ono.</w:t>
            </w:r>
          </w:p>
        </w:tc>
      </w:tr>
      <w:tr>
        <w:tc>
          <w:tcPr/>
          <w:p>
            <w:pPr>
              <w:pStyle w:val="Compact"/>
              <w:jc w:val="left"/>
            </w:pPr>
            <w:r>
              <w:t xml:space="preserve">Acide tartrique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pas clair sur les méthodes dans VO : metavan ??</w:t>
            </w:r>
          </w:p>
        </w:tc>
      </w:tr>
      <w:tr>
        <w:tc>
          <w:tcPr/>
          <w:p>
            <w:pPr>
              <w:pStyle w:val="Compact"/>
              <w:jc w:val="left"/>
            </w:pPr>
            <w:r>
              <w:t xml:space="preserve">Acide malique</w:t>
            </w:r>
          </w:p>
        </w:tc>
        <w:tc>
          <w:tcPr/>
          <w:p>
            <w:pPr>
              <w:pStyle w:val="Compact"/>
              <w:jc w:val="left"/>
            </w:pPr>
            <w:hyperlink r:id="rId46">
              <w:r>
                <w:rPr>
                  <w:rStyle w:val="Hyperlink"/>
                </w:rPr>
                <w:t xml:space="preserve">BER_MAL_g</w:t>
              </w:r>
            </w:hyperlink>
          </w:p>
        </w:tc>
        <w:tc>
          <w:tcPr/>
          <w:p>
            <w:pPr>
              <w:pStyle w:val="Compact"/>
              <w:jc w:val="left"/>
            </w:pPr>
            <w:r>
              <w:t xml:space="preserve">Dosage enzymatique</w:t>
            </w:r>
          </w:p>
        </w:tc>
        <w:tc>
          <w:tcPr/>
          <w:p>
            <w:pPr>
              <w:pStyle w:val="Compact"/>
              <w:jc w:val="left"/>
            </w:pPr>
            <w:r>
              <w:t xml:space="preserve">OIV-MA-AS313-11 (Type II)</w:t>
            </w:r>
          </w:p>
        </w:tc>
        <w:tc>
          <w:tcPr/>
          <w:p>
            <w:pPr>
              <w:pStyle w:val="Compact"/>
              <w:jc w:val="left"/>
            </w:pPr>
            <w:r>
              <w:t xml:space="preserve">g.L</w:t>
            </w:r>
            <w:r>
              <w:rPr>
                <w:vertAlign w:val="superscript"/>
              </w:rPr>
              <w:t xml:space="preserve">-1</w:t>
            </w:r>
          </w:p>
        </w:tc>
        <w:tc>
          <w:tcPr/>
          <w:p>
            <w:pPr>
              <w:pStyle w:val="Compact"/>
              <w:jc w:val="left"/>
            </w:pPr>
            <w:r>
              <w:t xml:space="preserve">L-malique ici ??</w:t>
            </w:r>
          </w:p>
        </w:tc>
      </w:tr>
      <w:tr>
        <w:tc>
          <w:tcPr/>
          <w:p>
            <w:pPr>
              <w:pStyle w:val="Compact"/>
              <w:jc w:val="left"/>
            </w:pPr>
            <w:r>
              <w:t xml:space="preserve">Acide malique</w:t>
            </w:r>
          </w:p>
        </w:tc>
        <w:tc>
          <w:tcPr/>
          <w:p>
            <w:pPr>
              <w:pStyle w:val="Compact"/>
            </w:pPr>
          </w:p>
        </w:tc>
        <w:tc>
          <w:tcPr/>
          <w:p>
            <w:pPr>
              <w:pStyle w:val="Compact"/>
              <w:jc w:val="left"/>
            </w:pPr>
            <w:r>
              <w:t xml:space="preserve">Electrophorèse</w:t>
            </w:r>
          </w:p>
        </w:tc>
        <w:tc>
          <w:tcPr/>
          <w:p>
            <w:pPr>
              <w:pStyle w:val="Compact"/>
              <w:jc w:val="left"/>
            </w:pPr>
            <w:r>
              <w:t xml:space="preserve">OIV-MA-AS313-19 (Type II)</w:t>
            </w:r>
          </w:p>
        </w:tc>
        <w:tc>
          <w:tcPr/>
          <w:p>
            <w:pPr>
              <w:pStyle w:val="Compact"/>
              <w:jc w:val="left"/>
            </w:pPr>
            <w:r>
              <w:t xml:space="preserve">g.L</w:t>
            </w:r>
            <w:r>
              <w:rPr>
                <w:vertAlign w:val="superscript"/>
              </w:rPr>
              <w:t xml:space="preserve">-1</w:t>
            </w:r>
          </w:p>
        </w:tc>
        <w:tc>
          <w:tcPr/>
          <w:p>
            <w:pPr>
              <w:pStyle w:val="Compact"/>
            </w:pPr>
          </w:p>
        </w:tc>
      </w:tr>
      <w:tr>
        <w:tc>
          <w:tcPr/>
          <w:p>
            <w:pPr>
              <w:pStyle w:val="Compact"/>
              <w:jc w:val="left"/>
            </w:pPr>
            <w:r>
              <w:t xml:space="preserve">Acide lactique</w:t>
            </w:r>
          </w:p>
        </w:tc>
        <w:tc>
          <w:tcPr/>
          <w:p>
            <w:pPr>
              <w:pStyle w:val="Compact"/>
            </w:pPr>
          </w:p>
        </w:tc>
        <w:tc>
          <w:tcPr/>
          <w:p>
            <w:pPr>
              <w:pStyle w:val="Compact"/>
              <w:jc w:val="left"/>
            </w:pPr>
            <w:r>
              <w:t xml:space="preserve">Electrophorèse</w:t>
            </w:r>
          </w:p>
        </w:tc>
        <w:tc>
          <w:tcPr/>
          <w:p>
            <w:pPr>
              <w:pStyle w:val="Compact"/>
              <w:jc w:val="left"/>
            </w:pPr>
            <w:r>
              <w:t xml:space="preserve">OIV-MA-AS313-19 (Type II)</w:t>
            </w:r>
          </w:p>
        </w:tc>
        <w:tc>
          <w:tcPr/>
          <w:p>
            <w:pPr>
              <w:pStyle w:val="Compact"/>
              <w:jc w:val="left"/>
            </w:pPr>
            <w:r>
              <w:t xml:space="preserve">g.L</w:t>
            </w:r>
            <w:r>
              <w:rPr>
                <w:vertAlign w:val="superscript"/>
              </w:rPr>
              <w:t xml:space="preserve">-1</w:t>
            </w:r>
          </w:p>
        </w:tc>
        <w:tc>
          <w:tcPr/>
          <w:p>
            <w:pPr>
              <w:pStyle w:val="Compact"/>
            </w:pPr>
          </w:p>
        </w:tc>
      </w:tr>
      <w:tr>
        <w:tc>
          <w:tcPr/>
          <w:p>
            <w:pPr>
              <w:pStyle w:val="Compact"/>
              <w:jc w:val="left"/>
            </w:pPr>
            <w:r>
              <w:t xml:space="preserve">Acide tartrique</w:t>
            </w:r>
          </w:p>
        </w:tc>
        <w:tc>
          <w:tcPr/>
          <w:p>
            <w:pPr>
              <w:pStyle w:val="Compact"/>
            </w:pPr>
          </w:p>
        </w:tc>
        <w:tc>
          <w:tcPr/>
          <w:p>
            <w:pPr>
              <w:pStyle w:val="Compact"/>
              <w:jc w:val="left"/>
            </w:pPr>
            <w:r>
              <w:t xml:space="preserve">Electrophorèse</w:t>
            </w:r>
          </w:p>
        </w:tc>
        <w:tc>
          <w:tcPr/>
          <w:p>
            <w:pPr>
              <w:pStyle w:val="Compact"/>
              <w:jc w:val="left"/>
            </w:pPr>
            <w:r>
              <w:t xml:space="preserve">OIV-MA-AS313-19 (Type II)</w:t>
            </w:r>
          </w:p>
        </w:tc>
        <w:tc>
          <w:tcPr/>
          <w:p>
            <w:pPr>
              <w:pStyle w:val="Compact"/>
              <w:jc w:val="left"/>
            </w:pPr>
            <w:r>
              <w:t xml:space="preserve">g.L</w:t>
            </w:r>
            <w:r>
              <w:rPr>
                <w:vertAlign w:val="superscript"/>
              </w:rPr>
              <w:t xml:space="preserve">-1</w:t>
            </w:r>
          </w:p>
        </w:tc>
        <w:tc>
          <w:tcPr/>
          <w:p>
            <w:pPr>
              <w:pStyle w:val="Compact"/>
            </w:pPr>
          </w:p>
        </w:tc>
      </w:tr>
      <w:tr>
        <w:tc>
          <w:tcPr/>
          <w:p>
            <w:pPr>
              <w:pStyle w:val="Compact"/>
              <w:jc w:val="left"/>
            </w:pPr>
            <w:r>
              <w:t xml:space="preserve">Azote assimilable</w:t>
            </w:r>
          </w:p>
        </w:tc>
        <w:tc>
          <w:tcPr/>
          <w:p>
            <w:pPr>
              <w:pStyle w:val="Compact"/>
              <w:jc w:val="left"/>
            </w:pPr>
            <w:hyperlink r:id="rId47">
              <w:r>
                <w:rPr>
                  <w:rStyle w:val="Hyperlink"/>
                </w:rPr>
                <w:t xml:space="preserve">BERRY_N_NH4&amp;AA</w:t>
              </w:r>
            </w:hyperlink>
          </w:p>
        </w:tc>
        <w:tc>
          <w:tcPr/>
          <w:p>
            <w:pPr>
              <w:pStyle w:val="Compact"/>
              <w:jc w:val="left"/>
            </w:pPr>
            <w:r>
              <w:t xml:space="preserve">Somme des teneurs en azote ammoniacal et aminé</w:t>
            </w:r>
          </w:p>
        </w:tc>
        <w:tc>
          <w:tcPr/>
          <w:p>
            <w:pPr>
              <w:pStyle w:val="Compact"/>
            </w:pPr>
          </w:p>
        </w:tc>
        <w:tc>
          <w:tcPr/>
          <w:p>
            <w:pPr>
              <w:pStyle w:val="Compact"/>
              <w:jc w:val="left"/>
            </w:pPr>
            <w:r>
              <w:t xml:space="preserve">mg.L</w:t>
            </w:r>
            <w:r>
              <w:rPr>
                <w:vertAlign w:val="superscript"/>
              </w:rPr>
              <w:t xml:space="preserve">-1</w:t>
            </w:r>
          </w:p>
        </w:tc>
        <w:tc>
          <w:tcPr/>
          <w:p>
            <w:pPr>
              <w:pStyle w:val="Compact"/>
            </w:pPr>
          </w:p>
        </w:tc>
      </w:tr>
      <w:tr>
        <w:tc>
          <w:tcPr/>
          <w:p>
            <w:pPr>
              <w:pStyle w:val="Compact"/>
              <w:jc w:val="left"/>
            </w:pPr>
            <w:r>
              <w:t xml:space="preserve">Azote ammoniacal</w:t>
            </w:r>
          </w:p>
        </w:tc>
        <w:tc>
          <w:tcPr/>
          <w:p>
            <w:pPr>
              <w:pStyle w:val="Compact"/>
              <w:jc w:val="left"/>
            </w:pPr>
            <w:hyperlink r:id="rId48">
              <w:r>
                <w:rPr>
                  <w:rStyle w:val="Hyperlink"/>
                </w:rPr>
                <w:t xml:space="preserve">BERRY_N_NH4</w:t>
              </w:r>
            </w:hyperlink>
          </w:p>
        </w:tc>
        <w:tc>
          <w:tcPr/>
          <w:p>
            <w:pPr>
              <w:pStyle w:val="Compact"/>
              <w:jc w:val="left"/>
            </w:pPr>
            <w:r>
              <w:t xml:space="preserve">Dosage enzymatique</w:t>
            </w:r>
          </w:p>
        </w:tc>
        <w:tc>
          <w:tcPr/>
          <w:p>
            <w:pPr>
              <w:pStyle w:val="Compact"/>
            </w:pPr>
          </w:p>
        </w:tc>
        <w:tc>
          <w:tcPr/>
          <w:p>
            <w:pPr>
              <w:pStyle w:val="Compact"/>
              <w:jc w:val="left"/>
            </w:pPr>
            <w:r>
              <w:t xml:space="preserve">mg.L</w:t>
            </w:r>
            <w:r>
              <w:rPr>
                <w:vertAlign w:val="superscript"/>
              </w:rPr>
              <w:t xml:space="preserve">-1</w:t>
            </w:r>
          </w:p>
        </w:tc>
        <w:tc>
          <w:tcPr/>
          <w:p>
            <w:pPr>
              <w:pStyle w:val="Compact"/>
            </w:pPr>
          </w:p>
        </w:tc>
      </w:tr>
      <w:tr>
        <w:tc>
          <w:tcPr/>
          <w:p>
            <w:pPr>
              <w:pStyle w:val="Compact"/>
              <w:jc w:val="left"/>
            </w:pPr>
            <w:r>
              <w:t xml:space="preserve">Azote aminé</w:t>
            </w:r>
          </w:p>
        </w:tc>
        <w:tc>
          <w:tcPr/>
          <w:p>
            <w:pPr>
              <w:pStyle w:val="Compact"/>
              <w:jc w:val="left"/>
            </w:pPr>
            <w:hyperlink r:id="rId49">
              <w:r>
                <w:rPr>
                  <w:rStyle w:val="Hyperlink"/>
                </w:rPr>
                <w:t xml:space="preserve">BERRY_N_AA</w:t>
              </w:r>
            </w:hyperlink>
          </w:p>
        </w:tc>
        <w:tc>
          <w:tcPr/>
          <w:p>
            <w:pPr>
              <w:pStyle w:val="Compact"/>
              <w:jc w:val="left"/>
            </w:pPr>
            <w:r>
              <w:t xml:space="preserve">Dosage colorimétrique</w:t>
            </w:r>
          </w:p>
        </w:tc>
        <w:tc>
          <w:tcPr/>
          <w:p>
            <w:pPr>
              <w:pStyle w:val="Compact"/>
            </w:pPr>
          </w:p>
        </w:tc>
        <w:tc>
          <w:tcPr/>
          <w:p>
            <w:pPr>
              <w:pStyle w:val="Compact"/>
              <w:jc w:val="left"/>
            </w:pPr>
            <w:r>
              <w:t xml:space="preserve">mg.L</w:t>
            </w:r>
            <w:r>
              <w:rPr>
                <w:vertAlign w:val="superscript"/>
              </w:rPr>
              <w:t xml:space="preserve">-1</w:t>
            </w:r>
          </w:p>
        </w:tc>
        <w:tc>
          <w:tcPr/>
          <w:p>
            <w:pPr>
              <w:pStyle w:val="Compact"/>
            </w:pPr>
          </w:p>
        </w:tc>
      </w:tr>
      <w:tr>
        <w:tc>
          <w:tcPr/>
          <w:p>
            <w:pPr>
              <w:pStyle w:val="Compact"/>
              <w:jc w:val="left"/>
            </w:pPr>
            <w:r>
              <w:t xml:space="preserve">𝛅C13</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Corpsdetexte"/>
      </w:pPr>
      <w:r>
        <w:t xml:space="preserve">quid IRTF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Corpsdetexte"/>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Astuce</w:t>
            </w:r>
          </w:p>
        </w:tc>
      </w:tr>
      <w:tr>
        <w:trPr>
          <w:cantSplit/>
        </w:trPr>
        <w:tc>
          <w:tcPr>
            <w:tcMar>
              <w:top w:w="108" w:type="dxa"/>
              <w:bottom w:w="108" w:type="dxa"/>
            </w:tcMar>
          </w:tcPr>
          <w:p>
            <w:pPr>
              <w:pStyle w:val="Corpsdetexte"/>
            </w:pPr>
            <w:pPr>
              <w:spacing w:before="16" w:after="16"/>
            </w:pPr>
            <w:r>
              <w:t xml:space="preserve">Consulter le</w:t>
            </w:r>
            <w:r>
              <w:t xml:space="preserve"> </w:t>
            </w:r>
            <w:hyperlink r:id="rId53">
              <w:r>
                <w:rPr>
                  <w:rStyle w:val="Hyperlink"/>
                </w:rPr>
                <w:t xml:space="preserve">référentiel de variable</w:t>
              </w:r>
            </w:hyperlink>
            <w:r>
              <w:t xml:space="preserve"> </w:t>
            </w:r>
            <w:r>
              <w:t xml:space="preserve">disponible sur le centre de ressources Viti-Oeno pour vérifier si un équivalent existe dans la Vitis Ontology. Attention au différence de méthode et d’unité !</w:t>
            </w:r>
          </w:p>
        </w:tc>
      </w:tr>
    </w:tbl>
    <w:bookmarkEnd w:id="54"/>
    <w:bookmarkStart w:id="55" w:name="interprétation-des-résultats"/>
    <w:p>
      <w:pPr>
        <w:pStyle w:val="Titre2"/>
      </w:pPr>
      <w:r>
        <w:t xml:space="preserve">Interprétation des résultats</w:t>
      </w:r>
    </w:p>
    <w:p>
      <w:pPr>
        <w:pStyle w:val="FirstParagraph"/>
      </w:pPr>
      <w:r>
        <w:t xml:space="preserve">Les paramètres analytiques permettent d’appréhender les différents types de maturité.</w:t>
      </w:r>
    </w:p>
    <w:tbl>
      <w:tblPr>
        <w:tblStyle w:val="Table"/>
        <w:tblW w:type="pct" w:w="5000"/>
        <w:tblLayout w:type="fixed"/>
        <w:tblLook w:firstRow="1" w:lastRow="0" w:firstColumn="0" w:lastColumn="0" w:noHBand="0" w:noVBand="0" w:val="0020"/>
      </w:tblPr>
      <w:tblGrid>
        <w:gridCol w:w="2090"/>
        <w:gridCol w:w="2970"/>
        <w:gridCol w:w="2860"/>
      </w:tblGrid>
      <w:tr>
        <w:trPr>
          <w:tblHeader w:val="on"/>
        </w:trPr>
        <w:tc>
          <w:tcPr/>
          <w:p>
            <w:pPr>
              <w:pStyle w:val="Compact"/>
              <w:jc w:val="left"/>
            </w:pPr>
            <w:r>
              <w:t xml:space="preserve">Type de maturité</w:t>
            </w:r>
          </w:p>
        </w:tc>
        <w:tc>
          <w:tcPr/>
          <w:p>
            <w:pPr>
              <w:pStyle w:val="Compact"/>
              <w:jc w:val="left"/>
            </w:pPr>
            <w:r>
              <w:t xml:space="preserve">Définition</w:t>
            </w:r>
          </w:p>
        </w:tc>
        <w:tc>
          <w:tcPr/>
          <w:p>
            <w:pPr>
              <w:pStyle w:val="Compact"/>
              <w:jc w:val="left"/>
            </w:pPr>
            <w:r>
              <w:t xml:space="preserve">Paramètres</w:t>
            </w:r>
          </w:p>
        </w:tc>
      </w:tr>
      <w:tr>
        <w:tc>
          <w:tcPr/>
          <w:p>
            <w:pPr>
              <w:pStyle w:val="Compact"/>
              <w:jc w:val="left"/>
            </w:pPr>
            <w:r>
              <w:t xml:space="preserve">Maturité physiologique</w:t>
            </w:r>
          </w:p>
        </w:tc>
        <w:tc>
          <w:tcPr/>
          <w:p>
            <w:pPr>
              <w:pStyle w:val="Compact"/>
              <w:jc w:val="left"/>
            </w:pPr>
            <w:r>
              <w:t xml:space="preserve">C’est le stade où les baies ont atteint leur taille maximale et où les pépins sont complètement formés, prêts à germer.</w:t>
            </w:r>
          </w:p>
        </w:tc>
        <w:tc>
          <w:tcPr/>
          <w:p>
            <w:pPr>
              <w:pStyle w:val="Compact"/>
              <w:jc w:val="left"/>
            </w:pPr>
            <w:r>
              <w:t xml:space="preserve">Mesure de la taille et du poids des baies. Couleur et dureté des pépins.</w:t>
            </w:r>
          </w:p>
        </w:tc>
      </w:tr>
      <w:tr>
        <w:tc>
          <w:tcPr/>
          <w:p>
            <w:pPr>
              <w:pStyle w:val="Compact"/>
              <w:jc w:val="left"/>
            </w:pPr>
            <w:r>
              <w:t xml:space="preserve">Maturité technologique</w:t>
            </w:r>
          </w:p>
        </w:tc>
        <w:tc>
          <w:tcPr/>
          <w:p>
            <w:pPr>
              <w:pStyle w:val="Compact"/>
              <w:jc w:val="left"/>
            </w:pPr>
            <w:r>
              <w:t xml:space="preserve">À ce stade, les raisins ont atteint un équilibre entre leur teneur en sucre et leur acidité.</w:t>
            </w:r>
          </w:p>
        </w:tc>
        <w:tc>
          <w:tcPr/>
          <w:p>
            <w:pPr>
              <w:pStyle w:val="Compact"/>
              <w:jc w:val="left"/>
            </w:pPr>
            <w:r>
              <w:t xml:space="preserve">Teneurs en sucres, acidité totale, pH. Le rapport Sucres/Acidité totale est un indicateur de la maturité technologique</w:t>
            </w:r>
          </w:p>
        </w:tc>
      </w:tr>
      <w:tr>
        <w:tc>
          <w:tcPr/>
          <w:p>
            <w:pPr>
              <w:pStyle w:val="Compact"/>
              <w:jc w:val="left"/>
            </w:pPr>
            <w:r>
              <w:t xml:space="preserve">Maturité phénolique</w:t>
            </w:r>
          </w:p>
        </w:tc>
        <w:tc>
          <w:tcPr/>
          <w:p>
            <w:pPr>
              <w:pStyle w:val="Compact"/>
              <w:jc w:val="left"/>
            </w:pPr>
            <w:r>
              <w:t xml:space="preserve">Cette maturité concerne principalement les composés phénoliques, tels que les tanins et les anthocyanes, qui sont importants pour la couleur, le goût et la structure des vins rouges.</w:t>
            </w:r>
          </w:p>
        </w:tc>
        <w:tc>
          <w:tcPr/>
          <w:p>
            <w:pPr>
              <w:pStyle w:val="Compact"/>
              <w:jc w:val="left"/>
            </w:pPr>
            <w:r>
              <w:t xml:space="preserve">Teneurs en anthocyanes, tannins. Indice polyphénolique total.</w:t>
            </w:r>
          </w:p>
        </w:tc>
      </w:tr>
      <w:tr>
        <w:tc>
          <w:tcPr/>
          <w:p>
            <w:pPr>
              <w:pStyle w:val="Compact"/>
              <w:jc w:val="left"/>
            </w:pPr>
            <w:r>
              <w:t xml:space="preserve">Maturité aromatique</w:t>
            </w:r>
          </w:p>
        </w:tc>
        <w:tc>
          <w:tcPr/>
          <w:p>
            <w:pPr>
              <w:pStyle w:val="Compact"/>
              <w:jc w:val="left"/>
            </w:pPr>
            <w:r>
              <w:t xml:space="preserve">À ce stade, les raisins ont développé leurs arômes variétaux caractéristiques.</w:t>
            </w:r>
          </w:p>
        </w:tc>
        <w:tc>
          <w:tcPr/>
          <w:p>
            <w:pPr>
              <w:pStyle w:val="Compact"/>
              <w:jc w:val="left"/>
            </w:pPr>
            <w:r>
              <w:t xml:space="preserve">Teneurs en composés aromatiques</w:t>
            </w:r>
          </w:p>
        </w:tc>
      </w:tr>
    </w:tbl>
    <w:p>
      <w:pPr>
        <w:pStyle w:val="Corpsdetexte"/>
      </w:pPr>
      <w:r>
        <w:t xml:space="preserve">Chaque cépage, chaque parcelle a ses caractéristiques propres qui influent sur un ou plusieurs aspects de ces maturités</w:t>
      </w:r>
      <w:r>
        <w:t xml:space="preserve"> </w:t>
      </w:r>
      <w:r>
        <w:t xml:space="preserve">[2]</w:t>
      </w:r>
      <w:r>
        <w:t xml:space="preserve">. L’état sanitaire, la conduite de la vigne et le climat sont autant d’éléments qui peuvent également induire des changements dans les dynamiques de maturation.</w:t>
      </w:r>
    </w:p>
    <w:bookmarkEnd w:id="55"/>
    <w:bookmarkEnd w:id="56"/>
    <w:bookmarkStart w:id="69" w:name="compléments-dinformation"/>
    <w:p>
      <w:pPr>
        <w:pStyle w:val="Titre1"/>
      </w:pPr>
      <w:r>
        <w:t xml:space="preserve">Compléments d’information</w:t>
      </w:r>
    </w:p>
    <w:bookmarkStart w:id="60" w:name="ressources-complémentaires"/>
    <w:p>
      <w:pPr>
        <w:pStyle w:val="Titre2"/>
      </w:pPr>
      <w:r>
        <w:t xml:space="preserve">Ressources complémentaires</w:t>
      </w:r>
    </w:p>
    <w:p>
      <w:pPr>
        <w:pStyle w:val="FirstParagraph"/>
      </w:pPr>
      <w:r>
        <w:t xml:space="preserve">Fiches sur le prélèvement des raisins :</w:t>
      </w:r>
    </w:p>
    <w:p>
      <w:pPr>
        <w:numPr>
          <w:ilvl w:val="0"/>
          <w:numId w:val="1006"/>
        </w:numPr>
      </w:pPr>
      <w:hyperlink r:id="rId57">
        <w:r>
          <w:rPr>
            <w:rStyle w:val="Hyperlink"/>
          </w:rPr>
          <w:t xml:space="preserve">IFV Occitanie</w:t>
        </w:r>
      </w:hyperlink>
    </w:p>
    <w:p>
      <w:pPr>
        <w:numPr>
          <w:ilvl w:val="0"/>
          <w:numId w:val="1006"/>
        </w:numPr>
      </w:pPr>
      <w:hyperlink r:id="rId58">
        <w:r>
          <w:rPr>
            <w:rStyle w:val="Hyperlink"/>
          </w:rPr>
          <w:t xml:space="preserve">Institut Rhodanien</w:t>
        </w:r>
      </w:hyperlink>
    </w:p>
    <w:p>
      <w:pPr>
        <w:numPr>
          <w:ilvl w:val="0"/>
          <w:numId w:val="1006"/>
        </w:numPr>
      </w:pPr>
      <w:hyperlink r:id="rId59">
        <w:r>
          <w:rPr>
            <w:rStyle w:val="Hyperlink"/>
          </w:rPr>
          <w:t xml:space="preserve">Techniloire</w:t>
        </w:r>
      </w:hyperlink>
    </w:p>
    <w:bookmarkEnd w:id="60"/>
    <w:bookmarkStart w:id="62" w:name="source-et-mise-à-jour"/>
    <w:p>
      <w:pPr>
        <w:pStyle w:val="Titre2"/>
      </w:pPr>
      <w:r>
        <w:t xml:space="preserve">Source et mise à jour</w:t>
      </w:r>
    </w:p>
    <w:p>
      <w:pPr>
        <w:pStyle w:val="FirstParagraph"/>
      </w:pPr>
      <w:r>
        <w:t xml:space="preserve">Cette fiche est disponible sur ce</w:t>
      </w:r>
      <w:r>
        <w:t xml:space="preserve"> </w:t>
      </w:r>
      <w:hyperlink r:id="rId61">
        <w:r>
          <w:rPr>
            <w:rStyle w:val="Hyperlink"/>
          </w:rPr>
          <w:t xml:space="preserve">site web</w:t>
        </w:r>
      </w:hyperlink>
      <w:r>
        <w:t xml:space="preserve">.</w:t>
      </w:r>
    </w:p>
    <w:p>
      <w:pPr>
        <w:pStyle w:val="Corpsdetexte"/>
      </w:pPr>
      <w:r>
        <w:t xml:space="preserve">N’oubliez pas de vérifier les mises à jours disponible !</w:t>
      </w:r>
    </w:p>
    <w:bookmarkEnd w:id="62"/>
    <w:bookmarkStart w:id="68" w:name="références"/>
    <w:p>
      <w:pPr>
        <w:pStyle w:val="Titre2"/>
      </w:pPr>
      <w:r>
        <w:t xml:space="preserve">Références</w:t>
      </w:r>
    </w:p>
    <w:bookmarkStart w:id="67" w:name="refs"/>
    <w:bookmarkStart w:id="64" w:name="ref-recueil2025"/>
    <w:p>
      <w:pPr>
        <w:pStyle w:val="Bibliography"/>
      </w:pPr>
      <w:r>
        <w:t xml:space="preserve">1.</w:t>
      </w:r>
      <w:r>
        <w:t xml:space="preserve"> </w:t>
      </w:r>
      <w:r>
        <w:t xml:space="preserve">	</w:t>
      </w:r>
      <w:hyperlink r:id="rId63">
        <w:r>
          <w:rPr>
            <w:rStyle w:val="Hyperlink"/>
            <w:i/>
            <w:iCs/>
          </w:rPr>
          <w:t xml:space="preserve">Recueil des méthodes internationales d’analyse des vins et des moûts</w:t>
        </w:r>
      </w:hyperlink>
      <w:r>
        <w:t xml:space="preserve">; Office international de la Vigne et du Vin, 2025; Vol. 1;</w:t>
      </w:r>
    </w:p>
    <w:bookmarkEnd w:id="64"/>
    <w:bookmarkStart w:id="66" w:name="ref-lacroix2024"/>
    <w:p>
      <w:pPr>
        <w:pStyle w:val="Bibliography"/>
      </w:pPr>
      <w:r>
        <w:t xml:space="preserve">2.</w:t>
      </w:r>
      <w:r>
        <w:t xml:space="preserve"> </w:t>
      </w:r>
      <w:r>
        <w:t xml:space="preserve">	</w:t>
      </w:r>
      <w:r>
        <w:t xml:space="preserve">Lacroix, R.; Bécart, V.; Puech, C.</w:t>
      </w:r>
      <w:r>
        <w:t xml:space="preserve"> </w:t>
      </w:r>
      <w:hyperlink r:id="rId65">
        <w:r>
          <w:rPr>
            <w:rStyle w:val="Hyperlink"/>
          </w:rPr>
          <w:t xml:space="preserve">Interpréter ses résultats maturité</w:t>
        </w:r>
      </w:hyperlink>
      <w:r>
        <w:t xml:space="preserve">.</w:t>
      </w:r>
      <w:r>
        <w:t xml:space="preserve"> </w:t>
      </w:r>
      <w:r>
        <w:rPr>
          <w:i/>
          <w:iCs/>
        </w:rPr>
        <w:t xml:space="preserve">Intitut Rhodanien Fiche technique Viticulture</w:t>
      </w:r>
      <w:r>
        <w:t xml:space="preserve"> </w:t>
      </w:r>
      <w:r>
        <w:rPr>
          <w:b/>
          <w:bCs/>
        </w:rPr>
        <w:t xml:space="preserve">2024</w:t>
      </w:r>
      <w:r>
        <w:t xml:space="preserve">, 2.</w:t>
      </w:r>
    </w:p>
    <w:bookmarkEnd w:id="66"/>
    <w:bookmarkEnd w:id="67"/>
    <w:bookmarkEnd w:id="68"/>
    <w:bookmarkEnd w:id="69"/>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Toujours conserver/préférer la</w:t>
      </w:r>
      <w:r>
        <w:t xml:space="preserve"> </w:t>
      </w:r>
      <w:r>
        <w:rPr>
          <w:b/>
          <w:bCs/>
        </w:rPr>
        <w:t xml:space="preserve">teneur en sucres</w:t>
      </w:r>
      <w:r>
        <w:t xml:space="preserve"> </w:t>
      </w:r>
      <w:r>
        <w:t xml:space="preserve">dans le jeu de données. C’est en effet le paramètre de base mesuré et cela évite les incertitudes sur le facteur de conversion.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42" Target="https://cropontology.org/term/CO_356:1000086" TargetMode="External" /><Relationship Type="http://schemas.openxmlformats.org/officeDocument/2006/relationships/hyperlink" Id="rId44" Target="https://cropontology.org/term/CO_356:1000184" TargetMode="External" /><Relationship Type="http://schemas.openxmlformats.org/officeDocument/2006/relationships/hyperlink" Id="rId43" Target="https://cropontology.org/term/CO_356:1000215" TargetMode="External" /><Relationship Type="http://schemas.openxmlformats.org/officeDocument/2006/relationships/hyperlink" Id="rId39" Target="https://cropontology.org/term/CO_356:1000217" TargetMode="External" /><Relationship Type="http://schemas.openxmlformats.org/officeDocument/2006/relationships/hyperlink" Id="rId41" Target="https://cropontology.org/term/CO_356:1000239" TargetMode="External" /><Relationship Type="http://schemas.openxmlformats.org/officeDocument/2006/relationships/hyperlink" Id="rId46" Target="https://cropontology.org/term/CO_356:1000298" TargetMode="External" /><Relationship Type="http://schemas.openxmlformats.org/officeDocument/2006/relationships/hyperlink" Id="rId45" Target="https://cropontology.org/term/CO_356:1000303" TargetMode="External" /><Relationship Type="http://schemas.openxmlformats.org/officeDocument/2006/relationships/hyperlink" Id="rId49" Target="https://cropontology.org/term/CO_356:1000351" TargetMode="External" /><Relationship Type="http://schemas.openxmlformats.org/officeDocument/2006/relationships/hyperlink" Id="rId48" Target="https://cropontology.org/term/CO_356:1000352" TargetMode="External" /><Relationship Type="http://schemas.openxmlformats.org/officeDocument/2006/relationships/hyperlink" Id="rId47" Target="https://cropontology.org/term/CO_356:1000535" TargetMode="External" /><Relationship Type="http://schemas.openxmlformats.org/officeDocument/2006/relationships/hyperlink" Id="rId59" Target="https://techniloire.com/fiche-technique/suivre-la-maturite-de-ses-raisins" TargetMode="External" /><Relationship Type="http://schemas.openxmlformats.org/officeDocument/2006/relationships/hyperlink" Id="rId61" Target="https://vignevin.github.io/methodo/" TargetMode="External" /><Relationship Type="http://schemas.openxmlformats.org/officeDocument/2006/relationships/hyperlink" Id="rId53" Target="https://vitioeno.mistea.inrae.fr/resource/app/variables?elementType=Variable" TargetMode="External" /><Relationship Type="http://schemas.openxmlformats.org/officeDocument/2006/relationships/hyperlink" Id="rId58" Target="https://www.institut-rhodanien.com/upload/article/file/021viticulturerealiserunprelevementmatu-668f97f56682b.pdf" TargetMode="External" /><Relationship Type="http://schemas.openxmlformats.org/officeDocument/2006/relationships/hyperlink" Id="rId65" Target="https://www.institut-rhodanien.com/upload/article/file/024viticultureinterpretersesresultatsmaturite-6697c49208f0e.pdf" TargetMode="External" /><Relationship Type="http://schemas.openxmlformats.org/officeDocument/2006/relationships/hyperlink" Id="rId63" Target="https://www.oiv.int/fr/standards/recueil-des-methodes-d%E2%80%99analyse-des-vins-et-mouts" TargetMode="External" /><Relationship Type="http://schemas.openxmlformats.org/officeDocument/2006/relationships/hyperlink" Id="rId40" Target="https://www.vignevin-occitanie.com/fiches-pratiques/les-teneurs-en-sucres-et-leur-correspondance-avec-le-titre-alcoometrique-probable/" TargetMode="External" /><Relationship Type="http://schemas.openxmlformats.org/officeDocument/2006/relationships/hyperlink" Id="rId57" Target="https://www.vignevin-occitanie.com/fiches-pratiques/prelevement-de-raisins/" TargetMode="External" /></Relationships>
</file>

<file path=word/_rels/footnotes.xml.rels><?xml version="1.0" encoding="UTF-8"?><Relationships xmlns="http://schemas.openxmlformats.org/package/2006/relationships"><Relationship Type="http://schemas.openxmlformats.org/officeDocument/2006/relationships/hyperlink" Id="rId42" Target="https://cropontology.org/term/CO_356:1000086" TargetMode="External" /><Relationship Type="http://schemas.openxmlformats.org/officeDocument/2006/relationships/hyperlink" Id="rId44" Target="https://cropontology.org/term/CO_356:1000184" TargetMode="External" /><Relationship Type="http://schemas.openxmlformats.org/officeDocument/2006/relationships/hyperlink" Id="rId43" Target="https://cropontology.org/term/CO_356:1000215" TargetMode="External" /><Relationship Type="http://schemas.openxmlformats.org/officeDocument/2006/relationships/hyperlink" Id="rId39" Target="https://cropontology.org/term/CO_356:1000217" TargetMode="External" /><Relationship Type="http://schemas.openxmlformats.org/officeDocument/2006/relationships/hyperlink" Id="rId41" Target="https://cropontology.org/term/CO_356:1000239" TargetMode="External" /><Relationship Type="http://schemas.openxmlformats.org/officeDocument/2006/relationships/hyperlink" Id="rId46" Target="https://cropontology.org/term/CO_356:1000298" TargetMode="External" /><Relationship Type="http://schemas.openxmlformats.org/officeDocument/2006/relationships/hyperlink" Id="rId45" Target="https://cropontology.org/term/CO_356:1000303" TargetMode="External" /><Relationship Type="http://schemas.openxmlformats.org/officeDocument/2006/relationships/hyperlink" Id="rId49" Target="https://cropontology.org/term/CO_356:1000351" TargetMode="External" /><Relationship Type="http://schemas.openxmlformats.org/officeDocument/2006/relationships/hyperlink" Id="rId48" Target="https://cropontology.org/term/CO_356:1000352" TargetMode="External" /><Relationship Type="http://schemas.openxmlformats.org/officeDocument/2006/relationships/hyperlink" Id="rId47" Target="https://cropontology.org/term/CO_356:1000535" TargetMode="External" /><Relationship Type="http://schemas.openxmlformats.org/officeDocument/2006/relationships/hyperlink" Id="rId59" Target="https://techniloire.com/fiche-technique/suivre-la-maturite-de-ses-raisins" TargetMode="External" /><Relationship Type="http://schemas.openxmlformats.org/officeDocument/2006/relationships/hyperlink" Id="rId61" Target="https://vignevin.github.io/methodo/" TargetMode="External" /><Relationship Type="http://schemas.openxmlformats.org/officeDocument/2006/relationships/hyperlink" Id="rId53" Target="https://vitioeno.mistea.inrae.fr/resource/app/variables?elementType=Variable" TargetMode="External" /><Relationship Type="http://schemas.openxmlformats.org/officeDocument/2006/relationships/hyperlink" Id="rId58" Target="https://www.institut-rhodanien.com/upload/article/file/021viticulturerealiserunprelevementmatu-668f97f56682b.pdf" TargetMode="External" /><Relationship Type="http://schemas.openxmlformats.org/officeDocument/2006/relationships/hyperlink" Id="rId65" Target="https://www.institut-rhodanien.com/upload/article/file/024viticultureinterpretersesresultatsmaturite-6697c49208f0e.pdf" TargetMode="External" /><Relationship Type="http://schemas.openxmlformats.org/officeDocument/2006/relationships/hyperlink" Id="rId63" Target="https://www.oiv.int/fr/standards/recueil-des-methodes-d%E2%80%99analyse-des-vins-et-mouts" TargetMode="External" /><Relationship Type="http://schemas.openxmlformats.org/officeDocument/2006/relationships/hyperlink" Id="rId40" Target="https://www.vignevin-occitanie.com/fiches-pratiques/les-teneurs-en-sucres-et-leur-correspondance-avec-le-titre-alcoometrique-probable/" TargetMode="External" /><Relationship Type="http://schemas.openxmlformats.org/officeDocument/2006/relationships/hyperlink" Id="rId57" Target="https://www.vignevin-occitanie.com/fiches-pratiques/prelevement-de-rais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maturité par prélèvement de baies</dc:title>
  <dc:creator/>
  <dc:language>fr</dc:language>
  <cp:keywords/>
  <dcterms:created xsi:type="dcterms:W3CDTF">2025-06-27T15:11:57Z</dcterms:created>
  <dcterms:modified xsi:type="dcterms:W3CDTF">2025-06-27T15:11:57Z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4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