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mildiou</w:t>
      </w:r>
      <w:r>
        <w:t xml:space="preserve"> </w:t>
      </w:r>
      <w:r>
        <w:t xml:space="preserve">-</w:t>
      </w:r>
      <w:r>
        <w:t xml:space="preserve"> </w:t>
      </w:r>
      <w:r>
        <w:t xml:space="preserve">Méthode</w:t>
      </w:r>
      <w:r>
        <w:t xml:space="preserve"> </w:t>
      </w:r>
      <w:r>
        <w:t xml:space="preserve">EPPO</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4" w:name="principe-de-la-mesure"/>
    <w:p>
      <w:pPr>
        <w:pStyle w:val="Titre1"/>
      </w:pPr>
      <w:r>
        <w:t xml:space="preserve">Principe de la mesure</w:t>
      </w:r>
    </w:p>
    <w:p>
      <w:pPr>
        <w:pStyle w:val="FirstParagraph"/>
      </w:pPr>
      <w:r>
        <w:t xml:space="preserve">Les observations visuelles sont réalisées régulièrement en notant la sévérité des symptômes de maladies. La méthode de mesure présentée dans cette fiche est décrite dans</w:t>
      </w:r>
      <w:r>
        <w:t xml:space="preserve"> </w:t>
      </w:r>
      <w:r>
        <w:t xml:space="preserve">[1]</w:t>
      </w:r>
      <w:r>
        <w:t xml:space="preserve">, et</w:t>
      </w:r>
      <w:r>
        <w:t xml:space="preserve"> </w:t>
      </w:r>
      <w:r>
        <w:t xml:space="preserve">[2]</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pPr>
            <w:r>
              <w:t xml:space="preserve">L’évaluation visuelle de la proportion de baies ou de surface atteinte par la maladie repose sur une interprétation humaine et peut varier fortement d’un observateur à l’autre. Il est nécessaire :</w:t>
            </w:r>
          </w:p>
          <w:p>
            <w:pPr>
              <w:pStyle w:val="Compact"/>
              <w:numPr>
                <w:ilvl w:val="0"/>
                <w:numId w:val="1001"/>
              </w:numPr>
            </w:pPr>
            <w:r>
              <w:t xml:space="preserve">de s’entraîner au préalable, au champ et avec des échelles calibrées</w:t>
            </w:r>
          </w:p>
          <w:p>
            <w:pPr>
              <w:pStyle w:val="Compact"/>
              <w:numPr>
                <w:ilvl w:val="0"/>
                <w:numId w:val="1001"/>
              </w:numPr>
            </w:pPr>
            <w:r>
              <w:t xml:space="preserve">de contrôler le facteur observateur dans la réalisation des notations, par exemple réalisant toutes les notations d’un bloc par le même observateur.</w:t>
            </w:r>
          </w:p>
        </w:tc>
      </w:tr>
    </w:tbl>
    <w:p>
      <w:r>
        <w:br w:type="page"/>
      </w:r>
    </w:p>
    <w:bookmarkEnd w:id="24"/>
    <w:bookmarkStart w:id="40" w:name="réalisation-de-la-mesure-sur-le-terrain"/>
    <w:p>
      <w:pPr>
        <w:pStyle w:val="Titre1"/>
      </w:pPr>
      <w:r>
        <w:t xml:space="preserve">Réalisation de la mesure 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Sur feuilles, observer 100 feuilles pour chaque répétition.</w:t>
      </w:r>
    </w:p>
    <w:p>
      <w:pPr>
        <w:pStyle w:val="Corpsdetexte"/>
      </w:pPr>
      <w:r>
        <w:t xml:space="preserve">Sur grappes, observer 50 (essai en conditions contrôlées) à 100 grappes (essai en conditions naturelles) pour chaque répétition.</w:t>
      </w:r>
    </w:p>
    <w:bookmarkEnd w:id="25"/>
    <w:bookmarkStart w:id="26" w:name="ceps-à-observer"/>
    <w:p>
      <w:pPr>
        <w:pStyle w:val="Titre3"/>
      </w:pPr>
      <w:r>
        <w:t xml:space="preserve">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Feuilles et grappes de chaque cep.</w:t>
      </w:r>
    </w:p>
    <w:bookmarkEnd w:id="27"/>
    <w:bookmarkEnd w:id="28"/>
    <w:bookmarkStart w:id="39" w:name="mesure"/>
    <w:p>
      <w:pPr>
        <w:pStyle w:val="Titre2"/>
      </w:pPr>
      <w:r>
        <w:t xml:space="preserve">Mesure</w:t>
      </w:r>
    </w:p>
    <w:bookmarkStart w:id="32" w:name="réalisation"/>
    <w:p>
      <w:pPr>
        <w:pStyle w:val="Titre3"/>
      </w:pPr>
      <w:r>
        <w:t xml:space="preserve">Réalisation</w:t>
      </w:r>
    </w:p>
    <w:p>
      <w:pPr>
        <w:pStyle w:val="FirstParagraph"/>
      </w:pPr>
      <w:r>
        <w:t xml:space="preserve">Sur chaque feuille ou grappe échantillonnée aléatoirement, la proportion de feuille ou de baies atteinte par la maladie est estimée visuellement.</w:t>
      </w:r>
    </w:p>
    <w:p>
      <w:pPr>
        <w:pStyle w:val="CaptionedFigure"/>
      </w:pPr>
      <w:r>
        <w:drawing>
          <wp:inline>
            <wp:extent cx="3524250" cy="5196775"/>
            <wp:effectExtent b="0" l="0" r="0" t="0"/>
            <wp:docPr descr="Echelle d’évaluation de la surface atteinte sur feuille [3]" title="" id="30" name="Picture"/>
            <a:graphic>
              <a:graphicData uri="http://schemas.openxmlformats.org/drawingml/2006/picture">
                <pic:pic>
                  <pic:nvPicPr>
                    <pic:cNvPr descr="images/echelle_maladie_feuille.png" id="31" name="Picture"/>
                    <pic:cNvPicPr>
                      <a:picLocks noChangeArrowheads="1" noChangeAspect="1"/>
                    </pic:cNvPicPr>
                  </pic:nvPicPr>
                  <pic:blipFill>
                    <a:blip r:embed="rId29"/>
                    <a:stretch>
                      <a:fillRect/>
                    </a:stretch>
                  </pic:blipFill>
                  <pic:spPr bwMode="auto">
                    <a:xfrm>
                      <a:off x="0" y="0"/>
                      <a:ext cx="3524250" cy="5196775"/>
                    </a:xfrm>
                    <a:prstGeom prst="rect">
                      <a:avLst/>
                    </a:prstGeom>
                    <a:noFill/>
                    <a:ln w="9525">
                      <a:noFill/>
                      <a:headEnd/>
                      <a:tailEnd/>
                    </a:ln>
                  </pic:spPr>
                </pic:pic>
              </a:graphicData>
            </a:graphic>
          </wp:inline>
        </w:drawing>
      </w:r>
    </w:p>
    <w:p>
      <w:pPr>
        <w:pStyle w:val="ImageCaption"/>
      </w:pPr>
      <w:r>
        <w:t xml:space="preserve">Echelle d’évaluation de la surface atteinte sur feuille</w:t>
      </w:r>
      <w:r>
        <w:t xml:space="preserve"> </w:t>
      </w:r>
      <w:r>
        <w:t xml:space="preserve">[3]</w:t>
      </w:r>
    </w:p>
    <w:bookmarkEnd w:id="32"/>
    <w:bookmarkStart w:id="36" w:name="outils"/>
    <w:p>
      <w:pPr>
        <w:pStyle w:val="Titre3"/>
      </w:pPr>
      <w:r>
        <w:t xml:space="preserve">Outils</w:t>
      </w:r>
    </w:p>
    <w:p>
      <w:pPr>
        <w:pStyle w:val="FirstParagraph"/>
      </w:pPr>
      <w:r>
        <w:t xml:space="preserve">Feuille de notation. Certaines applications existent pour la saisie terrain sur smartphone.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36"/>
    <w:bookmarkStart w:id="37" w:name="période-de-mesure"/>
    <w:p>
      <w:pPr>
        <w:pStyle w:val="Titre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Corpsdetexte"/>
      </w:pPr>
      <w:r>
        <w:t xml:space="preserve">En tout début d’épidémie, lorsque les symptômes sont peu nombreux, on peut compter l’ensemble des tâches présentes par répétition.</w:t>
      </w:r>
    </w:p>
    <w:p>
      <w:pPr>
        <w:pStyle w:val="Corpsdetexte"/>
      </w:pPr>
      <w:r>
        <w:t xml:space="preserve">Sur grappes, les comptages peuvent être réalisés :</w:t>
      </w:r>
    </w:p>
    <w:p>
      <w:pPr>
        <w:pStyle w:val="Compact"/>
        <w:numPr>
          <w:ilvl w:val="0"/>
          <w:numId w:val="1003"/>
        </w:numPr>
      </w:pPr>
      <w:r>
        <w:t xml:space="preserve">sur inflorescence</w:t>
      </w:r>
    </w:p>
    <w:p>
      <w:pPr>
        <w:pStyle w:val="Compact"/>
        <w:numPr>
          <w:ilvl w:val="0"/>
          <w:numId w:val="1003"/>
        </w:numPr>
      </w:pPr>
      <w:r>
        <w:t xml:space="preserve">à la nouaison (rot gris)</w:t>
      </w:r>
    </w:p>
    <w:p>
      <w:pPr>
        <w:pStyle w:val="Compact"/>
        <w:numPr>
          <w:ilvl w:val="0"/>
          <w:numId w:val="1003"/>
        </w:numPr>
      </w:pPr>
      <w:r>
        <w:t xml:space="preserve">avant le début de la véraison (rot brun)</w:t>
      </w:r>
    </w:p>
    <w:bookmarkEnd w:id="37"/>
    <w:bookmarkStart w:id="38" w:name="aspects-pratiques"/>
    <w:p>
      <w:pPr>
        <w:pStyle w:val="Titre3"/>
      </w:pPr>
      <w:r>
        <w:t xml:space="preserve">Aspects pratiques</w:t>
      </w:r>
    </w:p>
    <w:p>
      <w:pPr>
        <w:pStyle w:val="FirstParagraph"/>
      </w:pPr>
      <w:r>
        <w:t xml:space="preserve">La notation est assez rapide, environ 5 minutes sont nécessaires à deux personnes (un observateur entrainé et un notateur) pour observer 100 feuilles ou 50 grappes.</w:t>
      </w:r>
    </w:p>
    <w:p>
      <w:r>
        <w:br w:type="page"/>
      </w:r>
    </w:p>
    <w:bookmarkEnd w:id="38"/>
    <w:bookmarkEnd w:id="39"/>
    <w:bookmarkEnd w:id="40"/>
    <w:bookmarkStart w:id="45" w:name="traitement-des-résultats"/>
    <w:p>
      <w:pPr>
        <w:pStyle w:val="Titre1"/>
      </w:pPr>
      <w:r>
        <w:t xml:space="preserve">Traitement des résultats</w:t>
      </w:r>
    </w:p>
    <w:bookmarkStart w:id="43" w:name="définition-des-variables"/>
    <w:p>
      <w:pPr>
        <w:pStyle w:val="Titre2"/>
      </w:pPr>
      <w:r>
        <w:t xml:space="preserve">Définition des variables</w:t>
      </w:r>
    </w:p>
    <w:p>
      <w:pPr>
        <w:pStyle w:val="FirstParagraph"/>
      </w:pPr>
      <w:r>
        <w:t xml:space="preserve">La variable brute observée est la sévérité S (</w:t>
      </w:r>
      <w:r>
        <w:rPr>
          <w:i/>
          <w:iCs/>
        </w:rPr>
        <w:t xml:space="preserve">severity</w:t>
      </w:r>
      <w:r>
        <w:t xml:space="preserve"> </w:t>
      </w:r>
      <w:r>
        <w:t xml:space="preserve">en anglais),</w:t>
      </w:r>
      <w:r>
        <w:t xml:space="preserve"> </w:t>
      </w:r>
      <w:r>
        <w:rPr>
          <w:i/>
          <w:iCs/>
        </w:rPr>
        <w:t xml:space="preserve">i.e</w:t>
      </w:r>
      <w:r>
        <w:t xml:space="preserve"> </w:t>
      </w:r>
      <w:r>
        <w:t xml:space="preserve">la surface de feuille ou de grappes attaquée par la maladie exprimée en pourcentage de la surface totale, soit :</w:t>
      </w:r>
    </w:p>
    <w:p>
      <w:pPr>
        <w:pStyle w:val="Compact"/>
        <w:numPr>
          <w:ilvl w:val="0"/>
          <w:numId w:val="1004"/>
        </w:numPr>
      </w:pPr>
      <w:r>
        <w:t xml:space="preserve">de la feuille (</w:t>
      </w:r>
      <w:hyperlink r:id="rId41">
        <w:r>
          <w:rPr>
            <w:rStyle w:val="Hyperlink"/>
          </w:rPr>
          <w:t xml:space="preserve">PM_LEAF_PC</w:t>
        </w:r>
      </w:hyperlink>
      <w:r>
        <w:t xml:space="preserve">) ou</w:t>
      </w:r>
    </w:p>
    <w:p>
      <w:pPr>
        <w:pStyle w:val="Compact"/>
        <w:numPr>
          <w:ilvl w:val="0"/>
          <w:numId w:val="1004"/>
        </w:numPr>
      </w:pPr>
      <w:r>
        <w:t xml:space="preserve">de la grappe (</w:t>
      </w:r>
      <w:hyperlink r:id="rId42">
        <w:r>
          <w:rPr>
            <w:rStyle w:val="Hyperlink"/>
          </w:rPr>
          <w:t xml:space="preserve">PM_BER_PC</w:t>
        </w:r>
      </w:hyperlink>
      <w:r>
        <w:t xml:space="preserve">).</w:t>
      </w:r>
    </w:p>
    <w:p>
      <w:pPr>
        <w:pStyle w:val="FirstParagraph"/>
      </w:pPr>
      <w:r>
        <w:t xml:space="preserve">Les variables suivantes peuvent être calculées par répétition</w:t>
      </w:r>
      <w:r>
        <w:t xml:space="preserve"> </w:t>
      </w:r>
      <w:r>
        <w:t xml:space="preserve">[4]</w:t>
      </w:r>
      <w:r>
        <w:t xml:space="preserve"> </w:t>
      </w:r>
      <w:r>
        <w:t xml:space="preserve">:</w:t>
      </w:r>
    </w:p>
    <w:p>
      <w:pPr>
        <w:numPr>
          <w:ilvl w:val="0"/>
          <w:numId w:val="1005"/>
        </w:numPr>
      </w:pPr>
      <w:r>
        <w:t xml:space="preserve">La fréquence F (</w:t>
      </w:r>
      <w:r>
        <w:rPr>
          <w:i/>
          <w:iCs/>
        </w:rPr>
        <w:t xml:space="preserve">incidence</w:t>
      </w:r>
      <w:r>
        <w:t xml:space="preserve"> </w:t>
      </w:r>
      <w:r>
        <w:t xml:space="preserve">en anglais) : nombre de feuilles ou de grappes présentant des symptômes de maladies exprimé en pourcentage du nombre total de feuilles ou de grappes observées.</w:t>
      </w:r>
    </w:p>
    <w:p>
      <w:pPr>
        <w:numPr>
          <w:ilvl w:val="0"/>
          <w:numId w:val="1005"/>
        </w:numPr>
      </w:pPr>
      <w:r>
        <w:t xml:space="preserve">L’intensité d’attaque I (</w:t>
      </w:r>
      <w:r>
        <w:rPr>
          <w:i/>
          <w:iCs/>
        </w:rPr>
        <w:t xml:space="preserve">intensity</w:t>
      </w:r>
      <w:r>
        <w:t xml:space="preserve"> </w:t>
      </w:r>
      <w:r>
        <w:t xml:space="preserve">en anglais) : moyenne des sévérités observées sur l’ensemble des grappes ou feuilles observées.</w:t>
      </w:r>
    </w:p>
    <w:bookmarkEnd w:id="43"/>
    <w:bookmarkStart w:id="44"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4"/>
    <w:bookmarkEnd w:id="45"/>
    <w:bookmarkStart w:id="56" w:name="compléments-dinformation"/>
    <w:p>
      <w:pPr>
        <w:pStyle w:val="Titre1"/>
      </w:pPr>
      <w:r>
        <w:t xml:space="preserve">Compléments d’information</w:t>
      </w:r>
    </w:p>
    <w:bookmarkStart w:id="47" w:name="ressources-complémentaires"/>
    <w:p>
      <w:pPr>
        <w:pStyle w:val="Titre2"/>
      </w:pPr>
      <w:r>
        <w:t xml:space="preserve">Ressources complémentaires</w:t>
      </w:r>
    </w:p>
    <w:p>
      <w:pPr>
        <w:pStyle w:val="FirstParagraph"/>
      </w:pPr>
      <w:hyperlink r:id="rId46">
        <w:r>
          <w:rPr>
            <w:rStyle w:val="Hyperlink"/>
          </w:rPr>
          <w:t xml:space="preserve">Plateforme ephytia</w:t>
        </w:r>
      </w:hyperlink>
      <w:r>
        <w:t xml:space="preserve"> </w:t>
      </w:r>
      <w:r>
        <w:t xml:space="preserve">pour aide à la reconnaissance des symptômes de maladie sur vigne.</w:t>
      </w:r>
    </w:p>
    <w:bookmarkEnd w:id="47"/>
    <w:bookmarkStart w:id="55" w:name="références"/>
    <w:p>
      <w:pPr>
        <w:pStyle w:val="Titre2"/>
      </w:pPr>
      <w:r>
        <w:t xml:space="preserve">Références</w:t>
      </w:r>
    </w:p>
    <w:bookmarkStart w:id="54" w:name="refs"/>
    <w:bookmarkStart w:id="49" w:name="ref-eppo2000"/>
    <w:p>
      <w:pPr>
        <w:pStyle w:val="Bibliography"/>
      </w:pPr>
      <w:r>
        <w:t xml:space="preserve">1.</w:t>
      </w:r>
      <w:r>
        <w:t xml:space="preserve"> </w:t>
      </w:r>
      <w:r>
        <w:t xml:space="preserve">	</w:t>
      </w:r>
      <w:r>
        <w:t xml:space="preserve">EPPO</w:t>
      </w:r>
      <w:r>
        <w:t xml:space="preserve"> </w:t>
      </w:r>
      <w:hyperlink r:id="rId48">
        <w:r>
          <w:rPr>
            <w:rStyle w:val="Hyperlink"/>
          </w:rPr>
          <w:t xml:space="preserve">PP 1/31(3) Efficacy evaluation of fungicides. Plasmopara viticola</w:t>
        </w:r>
      </w:hyperlink>
      <w:r>
        <w:t xml:space="preserve">.</w:t>
      </w:r>
      <w:r>
        <w:t xml:space="preserve"> </w:t>
      </w:r>
      <w:r>
        <w:rPr>
          <w:b/>
          <w:bCs/>
        </w:rPr>
        <w:t xml:space="preserve">2000</w:t>
      </w:r>
      <w:r>
        <w:t xml:space="preserve">, 47‑49.</w:t>
      </w:r>
    </w:p>
    <w:bookmarkEnd w:id="49"/>
    <w:bookmarkStart w:id="50" w:name="ref-ceb_mildiou"/>
    <w:p>
      <w:pPr>
        <w:pStyle w:val="Bibliography"/>
      </w:pPr>
      <w:r>
        <w:t xml:space="preserve">2.</w:t>
      </w:r>
      <w:r>
        <w:t xml:space="preserve"> </w:t>
      </w:r>
      <w:r>
        <w:t xml:space="preserve">	</w:t>
      </w:r>
      <w:r>
        <w:t xml:space="preserve">CEB Méthode d’étude de l’efficacité au champ des fongicides destinés à la luette contre le mildiou de la vigne.</w:t>
      </w:r>
      <w:r>
        <w:t xml:space="preserve"> </w:t>
      </w:r>
      <w:r>
        <w:rPr>
          <w:b/>
          <w:bCs/>
        </w:rPr>
        <w:t xml:space="preserve">2010</w:t>
      </w:r>
      <w:r>
        <w:t xml:space="preserve">, 18.</w:t>
      </w:r>
    </w:p>
    <w:bookmarkEnd w:id="50"/>
    <w:bookmarkStart w:id="52" w:name="ref-buffara2014"/>
    <w:p>
      <w:pPr>
        <w:pStyle w:val="Bibliography"/>
      </w:pPr>
      <w:r>
        <w:t xml:space="preserve">3.</w:t>
      </w:r>
      <w:r>
        <w:t xml:space="preserve"> </w:t>
      </w:r>
      <w:r>
        <w:t xml:space="preserve">	</w:t>
      </w:r>
      <w:r>
        <w:t xml:space="preserve">Buffara, C.R.S.; Angelotti, F.; Vieira, R.A.; Bogo, A.; Tessmann, D.J.; Bem, B.P. de Elaboration and Validation of a Diagrammatic Scale to Assess Downy Mildew Severity in Grapevine.</w:t>
      </w:r>
      <w:r>
        <w:t xml:space="preserve"> </w:t>
      </w:r>
      <w:r>
        <w:rPr>
          <w:i/>
          <w:iCs/>
        </w:rPr>
        <w:t xml:space="preserve">Ciência Rural</w:t>
      </w:r>
      <w:r>
        <w:t xml:space="preserve"> </w:t>
      </w:r>
      <w:r>
        <w:rPr>
          <w:b/>
          <w:bCs/>
        </w:rPr>
        <w:t xml:space="preserve">2014</w:t>
      </w:r>
      <w:r>
        <w:t xml:space="preserve">,</w:t>
      </w:r>
      <w:r>
        <w:t xml:space="preserve"> </w:t>
      </w:r>
      <w:r>
        <w:rPr>
          <w:i/>
          <w:iCs/>
        </w:rPr>
        <w:t xml:space="preserve">44</w:t>
      </w:r>
      <w:r>
        <w:t xml:space="preserve">, 1384‑1391, doi:</w:t>
      </w:r>
      <w:hyperlink r:id="rId51">
        <w:r>
          <w:rPr>
            <w:rStyle w:val="Hyperlink"/>
          </w:rPr>
          <w:t xml:space="preserve">https://doi.org/10.1590/0103-8478cr20131548</w:t>
        </w:r>
      </w:hyperlink>
      <w:r>
        <w:t xml:space="preserve">.</w:t>
      </w:r>
    </w:p>
    <w:bookmarkEnd w:id="52"/>
    <w:bookmarkStart w:id="53"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
          <w:iCs/>
        </w:rPr>
        <w:t xml:space="preserve">Plant Disease Epidemiology: Facing Challenges of the 21st Century, eds S. Savary and BM Cooke (Dordrecht: Springer)</w:t>
      </w:r>
      <w:r>
        <w:t xml:space="preserve"> </w:t>
      </w:r>
      <w:r>
        <w:rPr>
          <w:b/>
          <w:bCs/>
        </w:rPr>
        <w:t xml:space="preserve">1991</w:t>
      </w:r>
      <w:r>
        <w:t xml:space="preserve">, 95103.</w:t>
      </w:r>
    </w:p>
    <w:bookmarkEnd w:id="53"/>
    <w:bookmarkEnd w:id="54"/>
    <w:bookmarkEnd w:id="55"/>
    <w:bookmarkEnd w:id="56"/>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42" Target="https://cropontology.org/term/CO_356:1000172" TargetMode="External" /><Relationship Type="http://schemas.openxmlformats.org/officeDocument/2006/relationships/hyperlink" Id="rId41" Target="https://cropontology.org/term/CO_356:1000220" TargetMode="External" /><Relationship Type="http://schemas.openxmlformats.org/officeDocument/2006/relationships/hyperlink" Id="rId51" Target="https://doi.org/10.1590/0103-8478cr20131548" TargetMode="External" /><Relationship Type="http://schemas.openxmlformats.org/officeDocument/2006/relationships/hyperlink" Id="rId46" Target="https://ephytia.inra.fr/fr/P/97/Vigne" TargetMode="External" /><Relationship Type="http://schemas.openxmlformats.org/officeDocument/2006/relationships/hyperlink" Id="rId48" Target="https://pp1.eppo.int/standards/PP1-031-3" TargetMode="External" /></Relationships>
</file>

<file path=word/_rels/footnotes.xml.rels><?xml version="1.0" encoding="UTF-8"?><Relationships xmlns="http://schemas.openxmlformats.org/package/2006/relationships"><Relationship Type="http://schemas.openxmlformats.org/officeDocument/2006/relationships/hyperlink" Id="rId42" Target="https://cropontology.org/term/CO_356:1000172" TargetMode="External" /><Relationship Type="http://schemas.openxmlformats.org/officeDocument/2006/relationships/hyperlink" Id="rId41" Target="https://cropontology.org/term/CO_356:1000220" TargetMode="External" /><Relationship Type="http://schemas.openxmlformats.org/officeDocument/2006/relationships/hyperlink" Id="rId51" Target="https://doi.org/10.1590/0103-8478cr20131548" TargetMode="External" /><Relationship Type="http://schemas.openxmlformats.org/officeDocument/2006/relationships/hyperlink" Id="rId46" Target="https://ephytia.inra.fr/fr/P/97/Vigne" TargetMode="External" /><Relationship Type="http://schemas.openxmlformats.org/officeDocument/2006/relationships/hyperlink" Id="rId48" Target="https://pp1.eppo.int/standards/PP1-0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mildiou - Méthode EPPO</dc:title>
  <dc:creator/>
  <dc:language>fr</dc:language>
  <cp:keywords/>
  <dcterms:created xsi:type="dcterms:W3CDTF">2025-05-26T13:51:40Z</dcterms:created>
  <dcterms:modified xsi:type="dcterms:W3CDTF">2025-05-26T13:51:40Z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