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2.png" ContentType="image/pn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Observations</w:t>
      </w:r>
      <w:r>
        <w:t xml:space="preserve"> </w:t>
      </w:r>
      <w:r>
        <w:t xml:space="preserve">oïdium</w:t>
      </w:r>
      <w:r>
        <w:t xml:space="preserve"> </w:t>
      </w:r>
      <w:r>
        <w:t xml:space="preserve">-</w:t>
      </w:r>
      <w:r>
        <w:t xml:space="preserve"> </w:t>
      </w:r>
      <w:r>
        <w:t xml:space="preserve">Méthode</w:t>
      </w:r>
      <w:r>
        <w:t xml:space="preserve"> </w:t>
      </w:r>
      <w:r>
        <w:t xml:space="preserve">EPPO</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4" w:name="principe-de-la-mesure"/>
    <w:p>
      <w:pPr>
        <w:pStyle w:val="Titre1"/>
      </w:pPr>
      <w:r>
        <w:t xml:space="preserve">Principe de la mesure</w:t>
      </w:r>
    </w:p>
    <w:p>
      <w:pPr>
        <w:pStyle w:val="FirstParagraph"/>
      </w:pPr>
      <w:r>
        <w:t xml:space="preserve">Les observations visuelles sont réalisées régulièrement en notant la présence et la sévérité des symptômes de maladies. La méthode de mesure présentée dans cette fiche est décrite dans</w:t>
      </w:r>
      <w:r>
        <w:t xml:space="preserve"> </w:t>
      </w:r>
      <w:r>
        <w:t xml:space="preserve">[1]</w:t>
      </w:r>
      <w:r>
        <w:t xml:space="preserve"> </w:t>
      </w:r>
      <w:r>
        <w:t xml:space="preserve">et</w:t>
      </w:r>
      <w:r>
        <w:t xml:space="preserve"> </w:t>
      </w:r>
      <w:r>
        <w:t xml:space="preserve">[2]</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pPr>
            <w:r>
              <w:t xml:space="preserve">L’évaluation visuelle de la proportion de baies ou de surface atteinte par la maladie repose sur une interprétation humaine et peut varier fortement d’un observateur à l’autre. Il est nécessaire :</w:t>
            </w:r>
          </w:p>
          <w:p>
            <w:pPr>
              <w:pStyle w:val="Compact"/>
              <w:numPr>
                <w:ilvl w:val="0"/>
                <w:numId w:val="1001"/>
              </w:numPr>
            </w:pPr>
            <w:r>
              <w:t xml:space="preserve">de s’entraîner au préalable, au champ et avec des échelles calibrées</w:t>
            </w:r>
          </w:p>
          <w:p>
            <w:pPr>
              <w:pStyle w:val="Compact"/>
              <w:numPr>
                <w:ilvl w:val="0"/>
                <w:numId w:val="1001"/>
              </w:numPr>
            </w:pPr>
            <w:r>
              <w:t xml:space="preserve">de contrôler le facteur observateur dans la réalisation des notations, par exemple réalisant toutes les notations d’un bloc par le même observateur.</w:t>
            </w:r>
          </w:p>
        </w:tc>
      </w:tr>
    </w:tbl>
    <w:p>
      <w:r>
        <w:br w:type="page"/>
      </w:r>
    </w:p>
    <w:bookmarkEnd w:id="24"/>
    <w:bookmarkStart w:id="41" w:name="réalisation-de-la-mesure-sur-le-terrain"/>
    <w:p>
      <w:pPr>
        <w:pStyle w:val="Titre1"/>
      </w:pPr>
      <w:r>
        <w:t xml:space="preserve">Réalisation de la mesure 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Sur feuilles, observer 100 feuilles pour chaque répétition.</w:t>
      </w:r>
    </w:p>
    <w:p>
      <w:pPr>
        <w:pStyle w:val="Corpsdetexte"/>
      </w:pPr>
      <w:r>
        <w:t xml:space="preserve">Sur grappes, observer 50 (essai en conditions contrôlées) à 100 grappes (essai en conditions naturelles) pour chaque répétition.</w:t>
      </w:r>
    </w:p>
    <w:bookmarkEnd w:id="25"/>
    <w:bookmarkStart w:id="26" w:name="ceps-à-observer"/>
    <w:p>
      <w:pPr>
        <w:pStyle w:val="Titre3"/>
      </w:pPr>
      <w:r>
        <w:t xml:space="preserve">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Feuilles et grappes de chaque cep.</w:t>
      </w:r>
    </w:p>
    <w:bookmarkEnd w:id="27"/>
    <w:bookmarkEnd w:id="28"/>
    <w:bookmarkStart w:id="40" w:name="mesure"/>
    <w:p>
      <w:pPr>
        <w:pStyle w:val="Titre2"/>
      </w:pPr>
      <w:r>
        <w:t xml:space="preserve">Mesure</w:t>
      </w:r>
    </w:p>
    <w:bookmarkStart w:id="35" w:name="réalisation"/>
    <w:p>
      <w:pPr>
        <w:pStyle w:val="Titre3"/>
      </w:pPr>
      <w:r>
        <w:t xml:space="preserve">Réalisation</w:t>
      </w:r>
    </w:p>
    <w:p>
      <w:pPr>
        <w:pStyle w:val="FirstParagraph"/>
      </w:pPr>
      <w:r>
        <w:t xml:space="preserve">Sur chaque feuille ou grappe échantillonnée aléatoirement, la proportion de feuille ou de baies atteinte par la maladie est estimée visuellement.</w:t>
      </w:r>
    </w:p>
    <w:p>
      <w:pPr>
        <w:pStyle w:val="CaptionedFigure"/>
      </w:pPr>
      <w:r>
        <w:drawing>
          <wp:inline>
            <wp:extent cx="3524250" cy="4956871"/>
            <wp:effectExtent b="0" l="0" r="0" t="0"/>
            <wp:docPr descr="Echelle d’évaluation de la surface atteinte sur grappe [3]." title="" id="30" name="Picture"/>
            <a:graphic>
              <a:graphicData uri="http://schemas.openxmlformats.org/drawingml/2006/picture">
                <pic:pic>
                  <pic:nvPicPr>
                    <pic:cNvPr descr="images/echelle_maladie_grappe.jpg" id="31" name="Picture"/>
                    <pic:cNvPicPr>
                      <a:picLocks noChangeArrowheads="1" noChangeAspect="1"/>
                    </pic:cNvPicPr>
                  </pic:nvPicPr>
                  <pic:blipFill>
                    <a:blip r:embed="rId29"/>
                    <a:stretch>
                      <a:fillRect/>
                    </a:stretch>
                  </pic:blipFill>
                  <pic:spPr bwMode="auto">
                    <a:xfrm>
                      <a:off x="0" y="0"/>
                      <a:ext cx="3524250" cy="4956871"/>
                    </a:xfrm>
                    <a:prstGeom prst="rect">
                      <a:avLst/>
                    </a:prstGeom>
                    <a:noFill/>
                    <a:ln w="9525">
                      <a:noFill/>
                      <a:headEnd/>
                      <a:tailEnd/>
                    </a:ln>
                  </pic:spPr>
                </pic:pic>
              </a:graphicData>
            </a:graphic>
          </wp:inline>
        </w:drawing>
      </w:r>
    </w:p>
    <w:p>
      <w:pPr>
        <w:pStyle w:val="ImageCaption"/>
      </w:pPr>
      <w:r>
        <w:t xml:space="preserve">Echelle d’évaluation de la surface atteinte sur grappe</w:t>
      </w:r>
      <w:r>
        <w:t xml:space="preserve"> </w:t>
      </w:r>
      <w:r>
        <w:t xml:space="preserve">[3]</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w:t>
            </w:r>
          </w:p>
        </w:tc>
      </w:tr>
    </w:tbl>
    <w:bookmarkEnd w:id="35"/>
    <w:bookmarkStart w:id="37" w:name="outils"/>
    <w:p>
      <w:pPr>
        <w:pStyle w:val="Titre3"/>
      </w:pPr>
      <w:r>
        <w:t xml:space="preserve">Outils</w:t>
      </w:r>
    </w:p>
    <w:p>
      <w:pPr>
        <w:pStyle w:val="FirstParagraph"/>
      </w:pPr>
      <w:r>
        <w:t xml:space="preserve">Feuille de notation.</w:t>
      </w:r>
    </w:p>
    <w:p>
      <w:pPr>
        <w:pStyle w:val="Corpsdetexte"/>
      </w:pPr>
      <w:r>
        <w:t xml:space="preserve">Certaines applications existent pour la saisie terrain sur smartphone, comme par exempe</w:t>
      </w:r>
      <w:r>
        <w:t xml:space="preserve"> </w:t>
      </w:r>
      <w:hyperlink r:id="rId36">
        <w:r>
          <w:rPr>
            <w:rStyle w:val="Hyperlink"/>
          </w:rPr>
          <w:t xml:space="preserve">PMapp</w:t>
        </w:r>
      </w:hyperlink>
      <w:r>
        <w:t xml:space="preserve"> </w:t>
      </w:r>
      <w:r>
        <w:t xml:space="preserve">.</w:t>
      </w:r>
    </w:p>
    <w:bookmarkEnd w:id="37"/>
    <w:bookmarkStart w:id="38" w:name="période-de-mesure"/>
    <w:p>
      <w:pPr>
        <w:pStyle w:val="Titre3"/>
      </w:pPr>
      <w:r>
        <w:t xml:space="preserve">Période de mesure</w:t>
      </w:r>
    </w:p>
    <w:p>
      <w:pPr>
        <w:pStyle w:val="FirstParagraph"/>
      </w:pPr>
      <w:r>
        <w:t xml:space="preserve">Les comptages précis peuvent être réalisés à tout moment, en fonction de l’évolution de l’épidémie maladie et à partir d’un seuil minimal d’attaque.</w:t>
      </w:r>
    </w:p>
    <w:p>
      <w:pPr>
        <w:pStyle w:val="Corpsdetexte"/>
      </w:pPr>
      <w:r>
        <w:t xml:space="preserve">Sur feuilles, une à deux observations en cours de saison suivant la pression maladie.</w:t>
      </w:r>
    </w:p>
    <w:p>
      <w:pPr>
        <w:pStyle w:val="Corpsdetexte"/>
      </w:pPr>
      <w:r>
        <w:t xml:space="preserve">Les grappes sont les plus sensibles à la maladie. L’évolution de la maladie s’observe facilement entre la nouaison et le début de la véraison. Au-delà, surtout sur les cépages rouges, il est impossible d’apprécier correctement les dégâts. Une dernière observation peut être réalisée avant récolte.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Organes</w:t>
            </w:r>
          </w:p>
        </w:tc>
        <w:tc>
          <w:tcPr/>
          <w:p>
            <w:pPr>
              <w:pStyle w:val="Compact"/>
              <w:jc w:val="left"/>
            </w:pPr>
            <w:r>
              <w:t xml:space="preserve">7-8 feuilles étalées</w:t>
            </w:r>
          </w:p>
        </w:tc>
        <w:tc>
          <w:tcPr/>
          <w:p>
            <w:pPr>
              <w:pStyle w:val="Compact"/>
              <w:jc w:val="left"/>
            </w:pPr>
            <w:r>
              <w:t xml:space="preserve">Nouaison (BBCH71)</w:t>
            </w:r>
          </w:p>
        </w:tc>
        <w:tc>
          <w:tcPr/>
          <w:p>
            <w:pPr>
              <w:pStyle w:val="Compact"/>
              <w:jc w:val="left"/>
            </w:pPr>
            <w:r>
              <w:t xml:space="preserve">Fermeture de la grappe (BBCH77)</w:t>
            </w:r>
          </w:p>
        </w:tc>
        <w:tc>
          <w:tcPr/>
          <w:p>
            <w:pPr>
              <w:pStyle w:val="Compact"/>
              <w:jc w:val="left"/>
            </w:pPr>
            <w:r>
              <w:t xml:space="preserve">Début véraison (BBCH81)</w:t>
            </w:r>
          </w:p>
        </w:tc>
      </w:tr>
      <w:tr>
        <w:tc>
          <w:tcPr/>
          <w:p>
            <w:pPr>
              <w:pStyle w:val="Compact"/>
              <w:jc w:val="left"/>
            </w:pPr>
            <w:r>
              <w:t xml:space="preserve">Rameaux</w:t>
            </w:r>
          </w:p>
        </w:tc>
        <w:tc>
          <w:tcPr/>
          <w:p>
            <w:pPr>
              <w:pStyle w:val="Compact"/>
              <w:jc w:val="left"/>
            </w:pPr>
            <w:r>
              <w:t xml:space="preserve">drapeaux si cépage ou parcelle très sensible</w:t>
            </w:r>
          </w:p>
        </w:tc>
        <w:tc>
          <w:tcPr/>
          <w:p>
            <w:pPr>
              <w:pStyle w:val="Compact"/>
            </w:pPr>
          </w:p>
        </w:tc>
        <w:tc>
          <w:tcPr/>
          <w:p>
            <w:pPr>
              <w:pStyle w:val="Compact"/>
            </w:pPr>
          </w:p>
        </w:tc>
        <w:tc>
          <w:tcPr/>
          <w:p>
            <w:pPr>
              <w:pStyle w:val="Compact"/>
            </w:pPr>
          </w:p>
        </w:tc>
      </w:tr>
      <w:tr>
        <w:tc>
          <w:tcPr/>
          <w:p>
            <w:pPr>
              <w:pStyle w:val="Compact"/>
              <w:jc w:val="left"/>
            </w:pPr>
            <w:r>
              <w:t xml:space="preserve">Feuilles</w:t>
            </w:r>
          </w:p>
        </w:tc>
        <w:tc>
          <w:tcPr/>
          <w:p>
            <w:pPr>
              <w:pStyle w:val="Compact"/>
            </w:pPr>
          </w:p>
        </w:tc>
        <w:tc>
          <w:tcPr/>
          <w:p>
            <w:pPr>
              <w:pStyle w:val="Compact"/>
              <w:jc w:val="left"/>
            </w:pPr>
            <w:r>
              <w:t xml:space="preserve">suivant pression maladies</w:t>
            </w:r>
          </w:p>
        </w:tc>
        <w:tc>
          <w:tcPr/>
          <w:p>
            <w:pPr>
              <w:pStyle w:val="Compact"/>
              <w:jc w:val="left"/>
            </w:pPr>
            <w:r>
              <w:t xml:space="preserve">recommandé</w:t>
            </w:r>
          </w:p>
        </w:tc>
        <w:tc>
          <w:tcPr/>
          <w:p>
            <w:pPr>
              <w:pStyle w:val="Compact"/>
            </w:pPr>
          </w:p>
        </w:tc>
      </w:tr>
      <w:tr>
        <w:tc>
          <w:tcPr/>
          <w:p>
            <w:pPr>
              <w:pStyle w:val="Compact"/>
              <w:jc w:val="left"/>
            </w:pPr>
            <w:r>
              <w:t xml:space="preserve">Grappes</w:t>
            </w:r>
          </w:p>
        </w:tc>
        <w:tc>
          <w:tcPr/>
          <w:p>
            <w:pPr>
              <w:pStyle w:val="Compact"/>
            </w:pPr>
          </w:p>
        </w:tc>
        <w:tc>
          <w:tcPr/>
          <w:p>
            <w:pPr>
              <w:pStyle w:val="Compact"/>
            </w:pPr>
          </w:p>
        </w:tc>
        <w:tc>
          <w:tcPr/>
          <w:p>
            <w:pPr>
              <w:pStyle w:val="Compact"/>
              <w:jc w:val="left"/>
            </w:pPr>
            <w:r>
              <w:t xml:space="preserve">recommandé</w:t>
            </w:r>
          </w:p>
        </w:tc>
        <w:tc>
          <w:tcPr/>
          <w:p>
            <w:pPr>
              <w:pStyle w:val="Compact"/>
              <w:jc w:val="left"/>
            </w:pPr>
            <w:r>
              <w:t xml:space="preserve">recommandé</w:t>
            </w:r>
          </w:p>
        </w:tc>
      </w:tr>
    </w:tbl>
    <w:bookmarkEnd w:id="38"/>
    <w:bookmarkStart w:id="39" w:name="aspects-pratiques"/>
    <w:p>
      <w:pPr>
        <w:pStyle w:val="Titre3"/>
      </w:pPr>
      <w:r>
        <w:t xml:space="preserve">Aspects pratiques</w:t>
      </w:r>
    </w:p>
    <w:p>
      <w:pPr>
        <w:pStyle w:val="FirstParagraph"/>
      </w:pPr>
      <w:r>
        <w:t xml:space="preserve">La notation est assez rapide, environ 5 minutes sont nécessaires à deux personnes (un observateur entraîné et un notateur) pour observer 100 feuilles ou 50 grappes.</w:t>
      </w:r>
    </w:p>
    <w:p>
      <w:r>
        <w:br w:type="page"/>
      </w:r>
    </w:p>
    <w:bookmarkEnd w:id="39"/>
    <w:bookmarkEnd w:id="40"/>
    <w:bookmarkEnd w:id="41"/>
    <w:bookmarkStart w:id="46" w:name="traitement-des-résultats"/>
    <w:p>
      <w:pPr>
        <w:pStyle w:val="Titre1"/>
      </w:pPr>
      <w:r>
        <w:t xml:space="preserve">Traitement des résultats</w:t>
      </w:r>
    </w:p>
    <w:bookmarkStart w:id="44" w:name="définition-des-variables"/>
    <w:p>
      <w:pPr>
        <w:pStyle w:val="Titre2"/>
      </w:pPr>
      <w:r>
        <w:t xml:space="preserve">Définition des variables</w:t>
      </w:r>
    </w:p>
    <w:p>
      <w:pPr>
        <w:pStyle w:val="FirstParagraph"/>
      </w:pPr>
      <w:r>
        <w:t xml:space="preserve">La sévérité S (</w:t>
      </w:r>
      <w:r>
        <w:rPr>
          <w:i/>
          <w:iCs/>
        </w:rPr>
        <w:t xml:space="preserve">severity</w:t>
      </w:r>
      <w:r>
        <w:t xml:space="preserve"> </w:t>
      </w:r>
      <w:r>
        <w:t xml:space="preserve">en anglais) est la surface de feuille ou de grappes attaquée par la maladie, exprimée en pourcentage de la surface totale</w:t>
      </w:r>
      <w:r>
        <w:t xml:space="preserve"> </w:t>
      </w:r>
      <w:r>
        <w:t xml:space="preserve">[4]</w:t>
      </w:r>
      <w:r>
        <w:t xml:space="preserve">, sur :</w:t>
      </w:r>
    </w:p>
    <w:p>
      <w:pPr>
        <w:pStyle w:val="Compact"/>
        <w:numPr>
          <w:ilvl w:val="0"/>
          <w:numId w:val="1003"/>
        </w:numPr>
      </w:pPr>
      <w:r>
        <w:t xml:space="preserve">feuille (</w:t>
      </w:r>
      <w:hyperlink r:id="rId42">
        <w:r>
          <w:rPr>
            <w:rStyle w:val="Hyperlink"/>
          </w:rPr>
          <w:t xml:space="preserve">UN_LEAF_PC</w:t>
        </w:r>
      </w:hyperlink>
      <w:r>
        <w:t xml:space="preserve">)</w:t>
      </w:r>
    </w:p>
    <w:p>
      <w:pPr>
        <w:pStyle w:val="Compact"/>
        <w:numPr>
          <w:ilvl w:val="0"/>
          <w:numId w:val="1003"/>
        </w:numPr>
      </w:pPr>
      <w:r>
        <w:t xml:space="preserve">grappe (</w:t>
      </w:r>
      <w:hyperlink r:id="rId43">
        <w:r>
          <w:rPr>
            <w:rStyle w:val="Hyperlink"/>
          </w:rPr>
          <w:t xml:space="preserve">UN_BER_PC</w:t>
        </w:r>
      </w:hyperlink>
      <w:r>
        <w:t xml:space="preserve">).</w:t>
      </w:r>
    </w:p>
    <w:p>
      <w:pPr>
        <w:pStyle w:val="FirstParagraph"/>
      </w:pPr>
      <w:r>
        <w:t xml:space="preserve">A partir des valeurs de sévérité, il est possible de calculer :</w:t>
      </w:r>
    </w:p>
    <w:p>
      <w:pPr>
        <w:pStyle w:val="Compact"/>
        <w:numPr>
          <w:ilvl w:val="0"/>
          <w:numId w:val="1004"/>
        </w:numPr>
      </w:pPr>
      <w:r>
        <w:t xml:space="preserve">La fréquence F (</w:t>
      </w:r>
      <w:r>
        <w:rPr>
          <w:i/>
          <w:iCs/>
        </w:rPr>
        <w:t xml:space="preserve">incidence</w:t>
      </w:r>
      <w:r>
        <w:t xml:space="preserve"> </w:t>
      </w:r>
      <w:r>
        <w:t xml:space="preserve">en anglais) : nombre de feuilles ou de grappes présentant des symptômes de maladies exprimé en pourcentage du nombre total de feuilles ou de grappes observées.</w:t>
      </w:r>
    </w:p>
    <w:p>
      <w:pPr>
        <w:pStyle w:val="Compact"/>
        <w:numPr>
          <w:ilvl w:val="0"/>
          <w:numId w:val="1004"/>
        </w:numPr>
      </w:pPr>
      <w:r>
        <w:t xml:space="preserve">L’intensité d’attaque I (</w:t>
      </w:r>
      <w:r>
        <w:rPr>
          <w:i/>
          <w:iCs/>
        </w:rPr>
        <w:t xml:space="preserve">intensity</w:t>
      </w:r>
      <w:r>
        <w:t xml:space="preserve"> </w:t>
      </w:r>
      <w:r>
        <w:t xml:space="preserve">en anglais) : moyenne des sévérités observées sur l’ensemble des grappes ou feuilles observées.</w:t>
      </w:r>
    </w:p>
    <w:bookmarkEnd w:id="44"/>
    <w:bookmarkStart w:id="45" w:name="interprétation-des-résultats"/>
    <w:p>
      <w:pPr>
        <w:pStyle w:val="Titre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45"/>
    <w:bookmarkEnd w:id="46"/>
    <w:bookmarkStart w:id="57" w:name="compléments-dinformation"/>
    <w:p>
      <w:pPr>
        <w:pStyle w:val="Titre1"/>
      </w:pPr>
      <w:r>
        <w:t xml:space="preserve">Compléments d’information</w:t>
      </w:r>
    </w:p>
    <w:bookmarkStart w:id="48" w:name="ressources-complémentaires"/>
    <w:p>
      <w:pPr>
        <w:pStyle w:val="Titre2"/>
      </w:pPr>
      <w:r>
        <w:t xml:space="preserve">Ressources complémentaires</w:t>
      </w:r>
    </w:p>
    <w:p>
      <w:pPr>
        <w:pStyle w:val="FirstParagraph"/>
      </w:pPr>
      <w:hyperlink r:id="rId47">
        <w:r>
          <w:rPr>
            <w:rStyle w:val="Hyperlink"/>
          </w:rPr>
          <w:t xml:space="preserve">Plateforme ephytia</w:t>
        </w:r>
      </w:hyperlink>
      <w:r>
        <w:t xml:space="preserve"> </w:t>
      </w:r>
      <w:r>
        <w:t xml:space="preserve">pour aide à la reconnaissance des symptômes de maladie sur vigne.</w:t>
      </w:r>
    </w:p>
    <w:bookmarkEnd w:id="48"/>
    <w:bookmarkStart w:id="56" w:name="références"/>
    <w:p>
      <w:pPr>
        <w:pStyle w:val="Titre2"/>
      </w:pPr>
      <w:r>
        <w:t xml:space="preserve">Références</w:t>
      </w:r>
    </w:p>
    <w:bookmarkStart w:id="55" w:name="refs"/>
    <w:bookmarkStart w:id="49" w:name="ref-ceb_oidium"/>
    <w:p>
      <w:pPr>
        <w:pStyle w:val="Bibliography"/>
      </w:pPr>
      <w:r>
        <w:t xml:space="preserve">1.</w:t>
      </w:r>
      <w:r>
        <w:t xml:space="preserve"> </w:t>
      </w:r>
      <w:r>
        <w:t xml:space="preserve">	</w:t>
      </w:r>
      <w:r>
        <w:t xml:space="preserve">CEB Méthode d’étude de l’efficacité au champ des fongicides destinés à la luette contre l’oïdium de la vigne, Uncinula necator (Schw.) Burr.</w:t>
      </w:r>
      <w:r>
        <w:t xml:space="preserve"> </w:t>
      </w:r>
      <w:r>
        <w:rPr>
          <w:b/>
          <w:bCs/>
        </w:rPr>
        <w:t xml:space="preserve">2010</w:t>
      </w:r>
      <w:r>
        <w:t xml:space="preserve">, 12.</w:t>
      </w:r>
    </w:p>
    <w:bookmarkEnd w:id="49"/>
    <w:bookmarkStart w:id="51" w:name="ref-eppo2001"/>
    <w:p>
      <w:pPr>
        <w:pStyle w:val="Bibliography"/>
      </w:pPr>
      <w:r>
        <w:t xml:space="preserve">2.</w:t>
      </w:r>
      <w:r>
        <w:t xml:space="preserve"> </w:t>
      </w:r>
      <w:r>
        <w:t xml:space="preserve">	</w:t>
      </w:r>
      <w:r>
        <w:t xml:space="preserve">EPPO</w:t>
      </w:r>
      <w:r>
        <w:t xml:space="preserve"> </w:t>
      </w:r>
      <w:hyperlink r:id="rId50">
        <w:r>
          <w:rPr>
            <w:rStyle w:val="Hyperlink"/>
          </w:rPr>
          <w:t xml:space="preserve">PP 1/4(4) Efficacy evaluation of fungicides. Uncinula necator</w:t>
        </w:r>
      </w:hyperlink>
      <w:r>
        <w:t xml:space="preserve">.</w:t>
      </w:r>
      <w:r>
        <w:t xml:space="preserve"> </w:t>
      </w:r>
      <w:r>
        <w:rPr>
          <w:b/>
          <w:bCs/>
        </w:rPr>
        <w:t xml:space="preserve">2001</w:t>
      </w:r>
      <w:r>
        <w:t xml:space="preserve">, 12‑14.</w:t>
      </w:r>
    </w:p>
    <w:bookmarkEnd w:id="51"/>
    <w:bookmarkStart w:id="53" w:name="ref-scott2020"/>
    <w:p>
      <w:pPr>
        <w:pStyle w:val="Bibliography"/>
      </w:pPr>
      <w:r>
        <w:t xml:space="preserve">3.</w:t>
      </w:r>
      <w:r>
        <w:t xml:space="preserve"> </w:t>
      </w:r>
      <w:r>
        <w:t xml:space="preserve">	</w:t>
      </w:r>
      <w:r>
        <w:t xml:space="preserve">Scott, E.; Zanker, T.; Petrovic, T.; Kravchuk, O.; Evans, K.; Emmett, B.; Perry, W. A diagrammatic key to assist assessment of powdery mildew severity on grape bunches.</w:t>
      </w:r>
      <w:r>
        <w:t xml:space="preserve"> </w:t>
      </w:r>
      <w:r>
        <w:rPr>
          <w:i/>
          <w:iCs/>
        </w:rPr>
        <w:t xml:space="preserve">Australian and New Zealand Grapegrower and Winemaker</w:t>
      </w:r>
      <w:r>
        <w:t xml:space="preserve"> </w:t>
      </w:r>
      <w:r>
        <w:rPr>
          <w:b/>
          <w:bCs/>
        </w:rPr>
        <w:t xml:space="preserve">2020</w:t>
      </w:r>
      <w:r>
        <w:t xml:space="preserve">, doi:</w:t>
      </w:r>
      <w:hyperlink r:id="rId52">
        <w:r>
          <w:rPr>
            <w:rStyle w:val="Hyperlink"/>
          </w:rPr>
          <w:t xml:space="preserve">10.3316/informit.736826345384331</w:t>
        </w:r>
      </w:hyperlink>
      <w:r>
        <w:t xml:space="preserve">.</w:t>
      </w:r>
    </w:p>
    <w:bookmarkEnd w:id="53"/>
    <w:bookmarkStart w:id="54" w:name="ref-nutterjr1991"/>
    <w:p>
      <w:pPr>
        <w:pStyle w:val="Bibliography"/>
      </w:pPr>
      <w:r>
        <w:t xml:space="preserve">4.</w:t>
      </w:r>
      <w:r>
        <w:t xml:space="preserve"> </w:t>
      </w:r>
      <w:r>
        <w:t xml:space="preserve">	</w:t>
      </w:r>
      <w:r>
        <w:t xml:space="preserve">Nutter Jr, F.; Teng, P.; Shokes, F. Disease assessment terms and concepts. Plant disease.</w:t>
      </w:r>
      <w:r>
        <w:t xml:space="preserve"> </w:t>
      </w:r>
      <w:r>
        <w:rPr>
          <w:i/>
          <w:iCs/>
        </w:rPr>
        <w:t xml:space="preserve">Plant Disease Epidemiology: Facing Challenges of the 21st Century, eds S. Savary and BM Cooke (Dordrecht: Springer)</w:t>
      </w:r>
      <w:r>
        <w:t xml:space="preserve"> </w:t>
      </w:r>
      <w:r>
        <w:rPr>
          <w:b/>
          <w:bCs/>
        </w:rPr>
        <w:t xml:space="preserve">1991</w:t>
      </w:r>
      <w:r>
        <w:t xml:space="preserve">, 95103.</w:t>
      </w:r>
    </w:p>
    <w:bookmarkEnd w:id="54"/>
    <w:bookmarkEnd w:id="55"/>
    <w:bookmarkEnd w:id="56"/>
    <w:bookmarkEnd w:id="57"/>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9" Target="media/rId29.jpg" /><Relationship Type="http://schemas.openxmlformats.org/officeDocument/2006/relationships/hyperlink" Id="rId43" Target="https://cropontology.org/term/CO_356:1000176" TargetMode="External" /><Relationship Type="http://schemas.openxmlformats.org/officeDocument/2006/relationships/hyperlink" Id="rId42" Target="https://cropontology.org/term/CO_356:1000221" TargetMode="External" /><Relationship Type="http://schemas.openxmlformats.org/officeDocument/2006/relationships/hyperlink" Id="rId52" Target="https://doi.org/10.3316/informit.736826345384331" TargetMode="External" /><Relationship Type="http://schemas.openxmlformats.org/officeDocument/2006/relationships/hyperlink" Id="rId47" Target="https://ephytia.inra.fr/fr/P/97/Vigne" TargetMode="External" /><Relationship Type="http://schemas.openxmlformats.org/officeDocument/2006/relationships/hyperlink" Id="rId50" Target="https://pp1.eppo.int/standards/PP1-004-4" TargetMode="External" /><Relationship Type="http://schemas.openxmlformats.org/officeDocument/2006/relationships/hyperlink" Id="rId36" Target="https://www.vineyardteam.org/files/resources/PMapp.pdf" TargetMode="External" /></Relationships>
</file>

<file path=word/_rels/footnotes.xml.rels><?xml version="1.0" encoding="UTF-8"?><Relationships xmlns="http://schemas.openxmlformats.org/package/2006/relationships"><Relationship Type="http://schemas.openxmlformats.org/officeDocument/2006/relationships/hyperlink" Id="rId43" Target="https://cropontology.org/term/CO_356:1000176" TargetMode="External" /><Relationship Type="http://schemas.openxmlformats.org/officeDocument/2006/relationships/hyperlink" Id="rId42" Target="https://cropontology.org/term/CO_356:1000221" TargetMode="External" /><Relationship Type="http://schemas.openxmlformats.org/officeDocument/2006/relationships/hyperlink" Id="rId52" Target="https://doi.org/10.3316/informit.736826345384331" TargetMode="External" /><Relationship Type="http://schemas.openxmlformats.org/officeDocument/2006/relationships/hyperlink" Id="rId47" Target="https://ephytia.inra.fr/fr/P/97/Vigne" TargetMode="External" /><Relationship Type="http://schemas.openxmlformats.org/officeDocument/2006/relationships/hyperlink" Id="rId50" Target="https://pp1.eppo.int/standards/PP1-004-4" TargetMode="External" /><Relationship Type="http://schemas.openxmlformats.org/officeDocument/2006/relationships/hyperlink" Id="rId36" Target="https://www.vineyardteam.org/files/resources/PMap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oïdium - Méthode EPPO</dc:title>
  <dc:creator/>
  <dc:language>fr</dc:language>
  <cp:keywords/>
  <dcterms:created xsi:type="dcterms:W3CDTF">2025-05-26T13:51:44Z</dcterms:created>
  <dcterms:modified xsi:type="dcterms:W3CDTF">2025-05-26T13:51:44Z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