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152CA8" w14:textId="77777777" w:rsidR="00C46470" w:rsidRDefault="00A100AB">
      <w:pPr>
        <w:pStyle w:val="Titre"/>
      </w:pPr>
      <w:r>
        <w:t>Mesure du potentiel hydrique foliaire de tige</w:t>
      </w:r>
    </w:p>
    <w:p w14:paraId="25152CA9" w14:textId="77777777" w:rsidR="00C46470" w:rsidRDefault="00A100AB">
      <w:r>
        <w:t>26 mai 2025</w:t>
      </w:r>
    </w:p>
    <w:p w14:paraId="25152CAA" w14:textId="77777777" w:rsidR="00C46470" w:rsidRDefault="00A100AB">
      <w:pPr>
        <w:pStyle w:val="Titre1"/>
      </w:pPr>
      <w:bookmarkStart w:id="0" w:name="objectif"/>
      <w:r>
        <w:t>Objectif</w:t>
      </w:r>
    </w:p>
    <w:p w14:paraId="25152CAB" w14:textId="77777777" w:rsidR="00C46470" w:rsidRDefault="00A100AB">
      <w:r>
        <w:t>La mesure du potentiel hydrique foliaire de tige (Ψ</w:t>
      </w:r>
      <w:r>
        <w:rPr>
          <w:vertAlign w:val="subscript"/>
        </w:rPr>
        <w:t>T</w:t>
      </w:r>
      <w:r>
        <w:t>) permet d’évaluer l’état hydrique de la vigne en condition de transpiration. Le potentiel hydrique foliaire de tige (Ψ</w:t>
      </w:r>
      <w:r>
        <w:rPr>
          <w:vertAlign w:val="subscript"/>
        </w:rPr>
        <w:t>T</w:t>
      </w:r>
      <w:r>
        <w:t>) est un indicateur du déficit hydrique précoce de la vigne [1].</w:t>
      </w:r>
    </w:p>
    <w:p w14:paraId="25152CAC" w14:textId="77777777" w:rsidR="00C46470" w:rsidRDefault="00A100AB">
      <w:pPr>
        <w:pStyle w:val="Titre1"/>
      </w:pPr>
      <w:bookmarkStart w:id="1" w:name="principe-de-la-mesure"/>
      <w:bookmarkEnd w:id="0"/>
      <w:r>
        <w:t>Principe de la mesure</w:t>
      </w:r>
    </w:p>
    <w:p w14:paraId="25152CAD" w14:textId="77777777" w:rsidR="00C46470" w:rsidRDefault="00A100AB">
      <w:r>
        <w:t>Le potentiel hydrique de la vigne (Ψ) est la tension (c’est-à-dire la pression négative) sous laquelle l’eau circule, principalement par les vaisseaux du xylème, depuis les racines jusqu’à l’interface air-feuille où elle s’évapore [2].</w:t>
      </w:r>
    </w:p>
    <w:p w14:paraId="25152CAE" w14:textId="77777777" w:rsidR="00C46470" w:rsidRDefault="00A100AB">
      <w:pPr>
        <w:pStyle w:val="Corpsdetexte"/>
      </w:pPr>
      <w:r>
        <w:t>Le Ψ</w:t>
      </w:r>
      <w:r>
        <w:rPr>
          <w:vertAlign w:val="subscript"/>
        </w:rPr>
        <w:t>T</w:t>
      </w:r>
      <w:r>
        <w:t xml:space="preserve"> est mesuré au midi solaire sur une feuille préalablement ensachée pour arrêter sa transpiration et équilibrer le potentiel hydrique de la feuille avec celui de la tige. Il représente l’état de tension de l’eau dans la plante lorsque le feuillage transpire.</w:t>
      </w:r>
    </w:p>
    <w:p w14:paraId="25152CAF" w14:textId="77777777" w:rsidR="00C46470" w:rsidRDefault="00A100AB">
      <w:pPr>
        <w:pStyle w:val="Corpsdetexte"/>
      </w:pPr>
      <w:r>
        <w:t>Le Ψ</w:t>
      </w:r>
      <w:r>
        <w:rPr>
          <w:vertAlign w:val="subscript"/>
        </w:rPr>
        <w:t>T</w:t>
      </w:r>
      <w:r>
        <w:t xml:space="preserve"> présente l’avantage de mieux discriminer des déficits hydriques faibles ou apparaissant dans des sols à humidité hétérogène (en rapport avec l’enracinement de la vigne) que le Ψ</w:t>
      </w:r>
      <w:r>
        <w:rPr>
          <w:vertAlign w:val="subscript"/>
        </w:rPr>
        <w:t>B</w:t>
      </w:r>
      <w:r>
        <w:t>. Le Ψ</w:t>
      </w:r>
      <w:r>
        <w:rPr>
          <w:vertAlign w:val="subscript"/>
        </w:rPr>
        <w:t>T</w:t>
      </w:r>
      <w:r>
        <w:t xml:space="preserve"> est toutefois difficilement interprétable au-delà d’un certain niveau de déficit hydrique (Ψ</w:t>
      </w:r>
      <w:r>
        <w:rPr>
          <w:vertAlign w:val="subscript"/>
        </w:rPr>
        <w:t>T</w:t>
      </w:r>
      <w:r>
        <w:t xml:space="preserve"> &lt; –1,4 MPa) à cause de la fermeture des stomates, peut-être à cause du phénomène d’embolisme au niveau du pétiole de la feuille [3].</w:t>
      </w:r>
    </w:p>
    <w:p w14:paraId="25152CB0" w14:textId="77777777" w:rsidR="00C46470" w:rsidRDefault="00A100AB">
      <w:r>
        <w:rPr>
          <w:noProof/>
        </w:rPr>
        <w:drawing>
          <wp:inline distT="0" distB="0" distL="0" distR="0" wp14:anchorId="25152D08" wp14:editId="05BF842B">
            <wp:extent cx="3701491" cy="2238451"/>
            <wp:effectExtent l="0" t="0" r="0" b="9525"/>
            <wp:docPr id="22" name="Picture" descr="Chambre à pression utilisée pour la mesure du potentiel hydrique (source IFV Occitanie)"/>
            <wp:cNvGraphicFramePr/>
            <a:graphic xmlns:a="http://schemas.openxmlformats.org/drawingml/2006/main">
              <a:graphicData uri="http://schemas.openxmlformats.org/drawingml/2006/picture">
                <pic:pic xmlns:pic="http://schemas.openxmlformats.org/drawingml/2006/picture">
                  <pic:nvPicPr>
                    <pic:cNvPr id="23" name="Picture" descr="images/Chambre-pression_IFV81.jpg"/>
                    <pic:cNvPicPr>
                      <a:picLocks noChangeAspect="1" noChangeArrowheads="1"/>
                    </pic:cNvPicPr>
                  </pic:nvPicPr>
                  <pic:blipFill>
                    <a:blip r:embed="rId7"/>
                    <a:stretch>
                      <a:fillRect/>
                    </a:stretch>
                  </pic:blipFill>
                  <pic:spPr bwMode="auto">
                    <a:xfrm>
                      <a:off x="0" y="0"/>
                      <a:ext cx="3704370" cy="2240192"/>
                    </a:xfrm>
                    <a:prstGeom prst="rect">
                      <a:avLst/>
                    </a:prstGeom>
                    <a:noFill/>
                    <a:ln w="9525">
                      <a:noFill/>
                      <a:headEnd/>
                      <a:tailEnd/>
                    </a:ln>
                  </pic:spPr>
                </pic:pic>
              </a:graphicData>
            </a:graphic>
          </wp:inline>
        </w:drawing>
      </w:r>
    </w:p>
    <w:p w14:paraId="25152CB1" w14:textId="77777777" w:rsidR="00C46470" w:rsidRDefault="00A100AB">
      <w:r>
        <w:t>Chambre à pression utilisée pour la mesure du potentiel hydrique (source IFV Occitanie)</w:t>
      </w:r>
    </w:p>
    <w:p w14:paraId="25152CB2" w14:textId="77777777" w:rsidR="00C46470" w:rsidRDefault="00A100AB">
      <w:r>
        <w:br w:type="page"/>
      </w:r>
    </w:p>
    <w:p w14:paraId="25152CB3" w14:textId="77777777" w:rsidR="00C46470" w:rsidRDefault="00A100AB">
      <w:pPr>
        <w:pStyle w:val="Titre1"/>
      </w:pPr>
      <w:bookmarkStart w:id="2" w:name="réalisation-de-la-mesure-sur-le-terrain"/>
      <w:bookmarkEnd w:id="1"/>
      <w:r>
        <w:lastRenderedPageBreak/>
        <w:t>Réalisation de la mesure sur le terrain</w:t>
      </w:r>
    </w:p>
    <w:p w14:paraId="25152CB4" w14:textId="77777777" w:rsidR="00C46470" w:rsidRDefault="00A100AB">
      <w:pPr>
        <w:pStyle w:val="Titre2"/>
      </w:pPr>
      <w:bookmarkStart w:id="3" w:name="échantillonnage"/>
      <w:r>
        <w:t>Échantillonnage</w:t>
      </w:r>
    </w:p>
    <w:p w14:paraId="25152CB5" w14:textId="77777777" w:rsidR="00C46470" w:rsidRDefault="00A100AB">
      <w:pPr>
        <w:pStyle w:val="Titre3"/>
      </w:pPr>
      <w:bookmarkStart w:id="4" w:name="nombre-dobservations"/>
      <w:r>
        <w:t>Nombre d’observations</w:t>
      </w:r>
    </w:p>
    <w:p w14:paraId="25152CB6" w14:textId="77777777" w:rsidR="00C46470" w:rsidRDefault="00A100AB">
      <w:r>
        <w:t>Les mesures se font sur un échantillon d’au moins 5 feuilles saines par placette ou zone homogène.</w:t>
      </w:r>
    </w:p>
    <w:p w14:paraId="25152CB7" w14:textId="77777777" w:rsidR="00C46470" w:rsidRDefault="00A100AB">
      <w:pPr>
        <w:pStyle w:val="Titre3"/>
      </w:pPr>
      <w:bookmarkStart w:id="5" w:name="choix-des-ceps-et-feuilles-à-prélever"/>
      <w:bookmarkEnd w:id="4"/>
      <w:r>
        <w:t>Choix des ceps et feuilles à prélever</w:t>
      </w:r>
    </w:p>
    <w:p w14:paraId="25152CB8" w14:textId="77777777" w:rsidR="00C46470" w:rsidRDefault="00A100AB">
      <w:pPr>
        <w:numPr>
          <w:ilvl w:val="0"/>
          <w:numId w:val="11"/>
        </w:numPr>
      </w:pPr>
      <w:r>
        <w:t>Sélectionner des ceps d’expression végétative similaire et indemnes de maladies du bois.</w:t>
      </w:r>
    </w:p>
    <w:p w14:paraId="25152CB9" w14:textId="77777777" w:rsidR="00C46470" w:rsidRDefault="00A100AB">
      <w:pPr>
        <w:numPr>
          <w:ilvl w:val="0"/>
          <w:numId w:val="11"/>
        </w:numPr>
      </w:pPr>
      <w:r>
        <w:t>Choisir des ceps situés dans la partie médiane d’une parcelle élémentaire pour éviter les effets de bordure.</w:t>
      </w:r>
    </w:p>
    <w:p w14:paraId="25152CBA" w14:textId="77777777" w:rsidR="00C46470" w:rsidRDefault="00A100AB">
      <w:pPr>
        <w:numPr>
          <w:ilvl w:val="0"/>
          <w:numId w:val="11"/>
        </w:numPr>
      </w:pPr>
      <w:r>
        <w:t>Choisir les feuilles sur un rameau primaire, côté ombré l’après-midi.</w:t>
      </w:r>
    </w:p>
    <w:p w14:paraId="25152CBB" w14:textId="77777777" w:rsidR="00C46470" w:rsidRDefault="00A100AB">
      <w:r>
        <w:t>Les mesures en saison se feront toujours sur les mêmes ceps.</w:t>
      </w:r>
    </w:p>
    <w:p w14:paraId="25152CBC" w14:textId="77777777" w:rsidR="00C46470" w:rsidRDefault="00A100AB">
      <w:pPr>
        <w:pStyle w:val="Titre2"/>
      </w:pPr>
      <w:bookmarkStart w:id="6" w:name="mesure"/>
      <w:bookmarkEnd w:id="5"/>
      <w:bookmarkEnd w:id="3"/>
      <w:r>
        <w:t>Mesure</w:t>
      </w:r>
    </w:p>
    <w:p w14:paraId="25152CBD" w14:textId="77777777" w:rsidR="00C46470" w:rsidRDefault="00A100AB">
      <w:pPr>
        <w:pStyle w:val="Titre3"/>
      </w:pPr>
      <w:bookmarkStart w:id="7" w:name="réalisation"/>
      <w:r>
        <w:t>Réalisation</w:t>
      </w:r>
    </w:p>
    <w:p w14:paraId="25152CBE" w14:textId="77777777" w:rsidR="00C46470" w:rsidRDefault="00A100AB">
      <w:r>
        <w:t>La mesure se fait autour du midi solaire, c’est-à-dire 14h en France l’été, au moment où l’état hydrique de la plante est à son minimum. Le créneau de mesure recommandé est entre 12h et 16h.</w:t>
      </w:r>
    </w:p>
    <w:p w14:paraId="25152CBF" w14:textId="77777777" w:rsidR="00C46470" w:rsidRDefault="00A100AB">
      <w:pPr>
        <w:pStyle w:val="Corpsdetexte"/>
      </w:pPr>
      <w:r>
        <w:t xml:space="preserve">La procédure est la suivante (voir </w:t>
      </w:r>
      <w:hyperlink r:id="rId8">
        <w:proofErr w:type="spellStart"/>
        <w:r w:rsidRPr="00A100AB">
          <w:rPr>
            <w:color w:val="0000FF"/>
            <w:u w:val="single"/>
          </w:rPr>
          <w:t>video</w:t>
        </w:r>
        <w:proofErr w:type="spellEnd"/>
      </w:hyperlink>
      <w:r>
        <w:t>) :</w:t>
      </w:r>
    </w:p>
    <w:p w14:paraId="25152CC0" w14:textId="77777777" w:rsidR="00C46470" w:rsidRDefault="00A100AB">
      <w:pPr>
        <w:numPr>
          <w:ilvl w:val="0"/>
          <w:numId w:val="12"/>
        </w:numPr>
      </w:pPr>
      <w:r>
        <w:t>Les feuilles doivent être ensachées au moins 1 heure (2h recommandé) avant la mesure dans un sachet imperméable et opaque.</w:t>
      </w:r>
    </w:p>
    <w:p w14:paraId="25152CC1" w14:textId="77777777" w:rsidR="00C46470" w:rsidRDefault="00A100AB">
      <w:pPr>
        <w:numPr>
          <w:ilvl w:val="1"/>
          <w:numId w:val="13"/>
        </w:numPr>
      </w:pPr>
      <w:r>
        <w:t>Introduire la feuille dans le sachet en prenant garde de ne pas casser le limbe (si pliage nécessaire) et de ne pas décoller le pétiole au point d’insertion sur le rameau.</w:t>
      </w:r>
    </w:p>
    <w:p w14:paraId="25152CC2" w14:textId="77777777" w:rsidR="00C46470" w:rsidRDefault="00A100AB">
      <w:pPr>
        <w:numPr>
          <w:ilvl w:val="1"/>
          <w:numId w:val="13"/>
        </w:numPr>
      </w:pPr>
      <w:r>
        <w:t>Rabattre l’ouverture du sachet pour ne laisser passer que le pétiole fixé au rameau et maintenir fermé à l’aide d’un trombone</w:t>
      </w:r>
    </w:p>
    <w:p w14:paraId="25152CC3" w14:textId="77777777" w:rsidR="00C46470" w:rsidRDefault="00A100AB">
      <w:pPr>
        <w:numPr>
          <w:ilvl w:val="0"/>
          <w:numId w:val="12"/>
        </w:numPr>
      </w:pPr>
      <w:r>
        <w:t xml:space="preserve">Prélever la feuille entière (limbe + pétiole) </w:t>
      </w:r>
      <w:r>
        <w:rPr>
          <w:b/>
          <w:bCs/>
        </w:rPr>
        <w:t>juste avant la mesure</w:t>
      </w:r>
      <w:r>
        <w:t xml:space="preserve"> par rupture du pétiole au niveau de son insertion sur le nœud.</w:t>
      </w:r>
    </w:p>
    <w:p w14:paraId="25152CC4" w14:textId="77777777" w:rsidR="00C46470" w:rsidRDefault="00A100AB">
      <w:pPr>
        <w:numPr>
          <w:ilvl w:val="0"/>
          <w:numId w:val="12"/>
        </w:numPr>
      </w:pPr>
      <w:r>
        <w:t>Amputer l’extrémité du pétiole à l’aide d’un cutter bien aiguisé pour ne pas écraser les tissus.</w:t>
      </w:r>
    </w:p>
    <w:p w14:paraId="25152CC5" w14:textId="77777777" w:rsidR="00C46470" w:rsidRDefault="00A100AB">
      <w:pPr>
        <w:numPr>
          <w:ilvl w:val="0"/>
          <w:numId w:val="12"/>
        </w:numPr>
      </w:pPr>
      <w:r>
        <w:t>Introduire le pétiole dans l’orifice du couvercle de la chambre à pression et assurer l’étanchéité autour du pétiole.</w:t>
      </w:r>
    </w:p>
    <w:p w14:paraId="25152CC6" w14:textId="77777777" w:rsidR="00C46470" w:rsidRDefault="00A100AB">
      <w:pPr>
        <w:numPr>
          <w:ilvl w:val="0"/>
          <w:numId w:val="12"/>
        </w:numPr>
      </w:pPr>
      <w:r>
        <w:t>Placer la feuille toujours ensachée dans la chambre dans laquelle on a déposé un morceau d’ouate humide.</w:t>
      </w:r>
    </w:p>
    <w:p w14:paraId="25152CC7" w14:textId="77777777" w:rsidR="00C46470" w:rsidRDefault="00A100AB">
      <w:pPr>
        <w:numPr>
          <w:ilvl w:val="0"/>
          <w:numId w:val="12"/>
        </w:numPr>
      </w:pPr>
      <w:r>
        <w:t>Fermer le couvercle, vérifier son positionnement et le cas échéant mettre en place la sécurité.</w:t>
      </w:r>
    </w:p>
    <w:p w14:paraId="25152CC8" w14:textId="77777777" w:rsidR="00C46470" w:rsidRDefault="00A100AB">
      <w:pPr>
        <w:numPr>
          <w:ilvl w:val="0"/>
          <w:numId w:val="12"/>
        </w:numPr>
      </w:pPr>
      <w:r>
        <w:lastRenderedPageBreak/>
        <w:t>Mettre la chambre sous pression très progressivement (la précision de la mesure est très dépendante de la vitesse de montée en pression). Une incrémentation de 0.002 MPa (0.02 Bar) en début de saison, en absence de stress, à 0.004 MPa (0.04 Bar) en fin de saison, stress fort, est recommandée.</w:t>
      </w:r>
    </w:p>
    <w:p w14:paraId="25152CC9" w14:textId="77777777" w:rsidR="00C46470" w:rsidRDefault="00A100AB">
      <w:pPr>
        <w:numPr>
          <w:ilvl w:val="0"/>
          <w:numId w:val="12"/>
        </w:numPr>
      </w:pPr>
      <w:r>
        <w:t>Noter le potentiel hydrique lors de l’apparition d’humidité sur la section du faisceau ligneux du pétiole. Cette valeur correspond à la pression de la chambre affichée par le manomètre, au signe près.</w:t>
      </w:r>
    </w:p>
    <w:p w14:paraId="25152CCA" w14:textId="77777777" w:rsidR="00C46470" w:rsidRDefault="00A100AB">
      <w:r>
        <w:rPr>
          <w:noProof/>
        </w:rPr>
        <w:drawing>
          <wp:inline distT="0" distB="0" distL="0" distR="0" wp14:anchorId="25152D0A" wp14:editId="25152D0B">
            <wp:extent cx="5095875" cy="3019006"/>
            <wp:effectExtent l="0" t="0" r="0" b="0"/>
            <wp:docPr id="30" name="Picture" descr="Mesure du potentiel hydrique folaire [3]"/>
            <wp:cNvGraphicFramePr/>
            <a:graphic xmlns:a="http://schemas.openxmlformats.org/drawingml/2006/main">
              <a:graphicData uri="http://schemas.openxmlformats.org/drawingml/2006/picture">
                <pic:pic xmlns:pic="http://schemas.openxmlformats.org/drawingml/2006/picture">
                  <pic:nvPicPr>
                    <pic:cNvPr id="31" name="Picture" descr="images/pot_base1.png"/>
                    <pic:cNvPicPr>
                      <a:picLocks noChangeAspect="1" noChangeArrowheads="1"/>
                    </pic:cNvPicPr>
                  </pic:nvPicPr>
                  <pic:blipFill>
                    <a:blip r:embed="rId9"/>
                    <a:stretch>
                      <a:fillRect/>
                    </a:stretch>
                  </pic:blipFill>
                  <pic:spPr bwMode="auto">
                    <a:xfrm>
                      <a:off x="0" y="0"/>
                      <a:ext cx="5095875" cy="3019006"/>
                    </a:xfrm>
                    <a:prstGeom prst="rect">
                      <a:avLst/>
                    </a:prstGeom>
                    <a:noFill/>
                    <a:ln w="9525">
                      <a:noFill/>
                      <a:headEnd/>
                      <a:tailEnd/>
                    </a:ln>
                  </pic:spPr>
                </pic:pic>
              </a:graphicData>
            </a:graphic>
          </wp:inline>
        </w:drawing>
      </w:r>
    </w:p>
    <w:p w14:paraId="25152CCB" w14:textId="77777777" w:rsidR="00C46470" w:rsidRDefault="00A100AB">
      <w:r>
        <w:t xml:space="preserve">Mesure du potentiel hydrique </w:t>
      </w:r>
      <w:proofErr w:type="spellStart"/>
      <w:r>
        <w:t>folaire</w:t>
      </w:r>
      <w:proofErr w:type="spellEnd"/>
      <w:r>
        <w:t xml:space="preserve"> [3]</w:t>
      </w:r>
    </w:p>
    <w:p w14:paraId="25152CCC" w14:textId="77777777" w:rsidR="00C46470" w:rsidRDefault="00A100AB">
      <w:pPr>
        <w:numPr>
          <w:ilvl w:val="0"/>
          <w:numId w:val="14"/>
        </w:numPr>
      </w:pPr>
      <w:r>
        <w:t>Si une mesure est aberrante, recommencer sur une autre feuille pour confirmer cette valeur</w:t>
      </w:r>
    </w:p>
    <w:tbl>
      <w:tblPr>
        <w:tblW w:w="5000" w:type="pct"/>
        <w:tblInd w:w="164" w:type="dxa"/>
        <w:tblBorders>
          <w:top w:val="single" w:sz="4" w:space="0" w:color="EB9113"/>
          <w:left w:val="single" w:sz="24" w:space="0" w:color="EB9113"/>
          <w:bottom w:val="single" w:sz="4" w:space="0" w:color="EB9113"/>
          <w:right w:val="single" w:sz="4" w:space="0" w:color="EB9113"/>
        </w:tblBorders>
        <w:tblCellMar>
          <w:left w:w="144" w:type="dxa"/>
          <w:right w:w="144" w:type="dxa"/>
        </w:tblCellMar>
        <w:tblLook w:val="0000" w:firstRow="0" w:lastRow="0" w:firstColumn="0" w:lastColumn="0" w:noHBand="0" w:noVBand="0"/>
      </w:tblPr>
      <w:tblGrid>
        <w:gridCol w:w="10045"/>
      </w:tblGrid>
      <w:tr w:rsidR="00C46470" w14:paraId="25152CCE" w14:textId="77777777">
        <w:trPr>
          <w:cantSplit/>
        </w:trPr>
        <w:tc>
          <w:tcPr>
            <w:tcW w:w="0" w:type="auto"/>
            <w:shd w:val="clear" w:color="auto" w:fill="FCEFDC"/>
            <w:tcMar>
              <w:top w:w="92" w:type="dxa"/>
              <w:bottom w:w="92" w:type="dxa"/>
            </w:tcMar>
          </w:tcPr>
          <w:p w14:paraId="25152CCD" w14:textId="77777777" w:rsidR="00C46470" w:rsidRDefault="00A100AB">
            <w:pPr>
              <w:spacing w:after="0"/>
              <w:textAlignment w:val="center"/>
            </w:pPr>
            <w:r>
              <w:rPr>
                <w:noProof/>
              </w:rPr>
              <w:drawing>
                <wp:inline distT="0" distB="0" distL="0" distR="0" wp14:anchorId="25152D0C" wp14:editId="25152D0D">
                  <wp:extent cx="152400" cy="1524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C:\Program Files\RStudio\resources\app\bin\quarto\share\formats\docx\warning.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Avertissement</w:t>
            </w:r>
          </w:p>
        </w:tc>
      </w:tr>
      <w:tr w:rsidR="00C46470" w14:paraId="25152CD0" w14:textId="77777777">
        <w:trPr>
          <w:cantSplit/>
        </w:trPr>
        <w:tc>
          <w:tcPr>
            <w:tcW w:w="0" w:type="auto"/>
            <w:tcMar>
              <w:top w:w="108" w:type="dxa"/>
              <w:bottom w:w="108" w:type="dxa"/>
            </w:tcMar>
          </w:tcPr>
          <w:p w14:paraId="25152CCF" w14:textId="77777777" w:rsidR="00C46470" w:rsidRDefault="00A100AB">
            <w:pPr>
              <w:pStyle w:val="Corpsdetexte"/>
              <w:spacing w:before="16" w:after="16"/>
            </w:pPr>
            <w:r>
              <w:t>Pour éviter les accidents, respecter le mode d’emploi et les consignes de sécurité propres à l’appareil, et réaliser les mesures à 2 personnes. Attention au stockage (éviter les fortes températures) et à la manipulation des bouteilles de gaz sous pression.</w:t>
            </w:r>
          </w:p>
        </w:tc>
      </w:tr>
    </w:tbl>
    <w:p w14:paraId="25152CD1" w14:textId="77777777" w:rsidR="00C46470" w:rsidRDefault="00A100AB">
      <w:pPr>
        <w:pStyle w:val="Titre3"/>
      </w:pPr>
      <w:bookmarkStart w:id="8" w:name="outils"/>
      <w:bookmarkEnd w:id="7"/>
      <w:r>
        <w:t>Outils</w:t>
      </w:r>
    </w:p>
    <w:p w14:paraId="25152CD2" w14:textId="77777777" w:rsidR="00C46470" w:rsidRDefault="00A100AB">
      <w:pPr>
        <w:numPr>
          <w:ilvl w:val="0"/>
          <w:numId w:val="15"/>
        </w:numPr>
      </w:pPr>
      <w:r>
        <w:t xml:space="preserve">Chambre à pression (dite de </w:t>
      </w:r>
      <w:proofErr w:type="spellStart"/>
      <w:r>
        <w:t>Scholander</w:t>
      </w:r>
      <w:proofErr w:type="spellEnd"/>
      <w:r>
        <w:t xml:space="preserve">) munie d’une source d’azote comprimée, d’un régulateur de débit et, si possible, d’un manomètre de précision (0.001 </w:t>
      </w:r>
      <w:proofErr w:type="spellStart"/>
      <w:r>
        <w:t>Mpa</w:t>
      </w:r>
      <w:proofErr w:type="spellEnd"/>
      <w:r>
        <w:t>).</w:t>
      </w:r>
    </w:p>
    <w:p w14:paraId="25152CD3" w14:textId="77777777" w:rsidR="00C46470" w:rsidRDefault="00A100AB">
      <w:pPr>
        <w:numPr>
          <w:ilvl w:val="0"/>
          <w:numId w:val="15"/>
        </w:numPr>
      </w:pPr>
      <w:r>
        <w:t>Cutter bien aiguisé</w:t>
      </w:r>
    </w:p>
    <w:p w14:paraId="25152CD4" w14:textId="77777777" w:rsidR="00C46470" w:rsidRDefault="00A100AB">
      <w:pPr>
        <w:numPr>
          <w:ilvl w:val="0"/>
          <w:numId w:val="15"/>
        </w:numPr>
      </w:pPr>
      <w:r>
        <w:t>Sachets imperméables et opaques. Ces sachets sont de forme carré (taille minimale recommandée de 15 x 15cm), et peuvent être constitués d’un film plastique solide (bâche pour fraisier) doublé d’une feuille d’aluminium ou bien d’un film plastique aluminisé (papier cadeau, couverture de survie, emballage alimentaire).</w:t>
      </w:r>
    </w:p>
    <w:p w14:paraId="25152CD5" w14:textId="77777777" w:rsidR="00C46470" w:rsidRDefault="00A100AB">
      <w:pPr>
        <w:numPr>
          <w:ilvl w:val="0"/>
          <w:numId w:val="10"/>
        </w:numPr>
      </w:pPr>
      <w:r>
        <w:rPr>
          <w:noProof/>
        </w:rPr>
        <w:lastRenderedPageBreak/>
        <w:drawing>
          <wp:inline distT="0" distB="0" distL="0" distR="0" wp14:anchorId="25152D0E" wp14:editId="25152D0F">
            <wp:extent cx="5549900" cy="20066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images/potentiel-tige-sachet.gif"/>
                    <pic:cNvPicPr>
                      <a:picLocks noChangeAspect="1" noChangeArrowheads="1"/>
                    </pic:cNvPicPr>
                  </pic:nvPicPr>
                  <pic:blipFill>
                    <a:blip r:embed="rId11"/>
                    <a:stretch>
                      <a:fillRect/>
                    </a:stretch>
                  </pic:blipFill>
                  <pic:spPr bwMode="auto">
                    <a:xfrm>
                      <a:off x="0" y="0"/>
                      <a:ext cx="5549900" cy="2006600"/>
                    </a:xfrm>
                    <a:prstGeom prst="rect">
                      <a:avLst/>
                    </a:prstGeom>
                    <a:noFill/>
                    <a:ln w="9525">
                      <a:noFill/>
                      <a:headEnd/>
                      <a:tailEnd/>
                    </a:ln>
                  </pic:spPr>
                </pic:pic>
              </a:graphicData>
            </a:graphic>
          </wp:inline>
        </w:drawing>
      </w:r>
    </w:p>
    <w:p w14:paraId="25152CD6" w14:textId="77777777" w:rsidR="00C46470" w:rsidRDefault="00A100AB">
      <w:pPr>
        <w:numPr>
          <w:ilvl w:val="0"/>
          <w:numId w:val="15"/>
        </w:numPr>
      </w:pPr>
      <w:r>
        <w:t>Trombones (pour maintenir fermée l’ouverture des sachets)</w:t>
      </w:r>
    </w:p>
    <w:p w14:paraId="25152CD7" w14:textId="77777777" w:rsidR="00C46470" w:rsidRDefault="00A100AB">
      <w:pPr>
        <w:numPr>
          <w:ilvl w:val="0"/>
          <w:numId w:val="15"/>
        </w:numPr>
      </w:pPr>
      <w:r>
        <w:t>Fiche de notation</w:t>
      </w:r>
    </w:p>
    <w:p w14:paraId="25152CD8" w14:textId="77777777" w:rsidR="00C46470" w:rsidRDefault="00A100AB">
      <w:pPr>
        <w:pStyle w:val="Titre3"/>
      </w:pPr>
      <w:bookmarkStart w:id="9" w:name="période-de-mesure"/>
      <w:bookmarkEnd w:id="8"/>
      <w:r>
        <w:t>Période de mesure</w:t>
      </w:r>
    </w:p>
    <w:p w14:paraId="25152CD9" w14:textId="77777777" w:rsidR="00C46470" w:rsidRDefault="00A100AB">
      <w:r>
        <w:t>Il ne doit pas y avoir eu de précipitations dans les 4 jours précédents la mesure.</w:t>
      </w:r>
    </w:p>
    <w:p w14:paraId="25152CDA" w14:textId="77777777" w:rsidR="00C46470" w:rsidRDefault="00A100AB">
      <w:pPr>
        <w:pStyle w:val="Corpsdetexte"/>
      </w:pPr>
      <w:r>
        <w:t>Les conditions climatiques au moment de la mesure doivent être constantes d’une fois sur l’autre (temps beau et clair, peu de vent).</w:t>
      </w:r>
    </w:p>
    <w:p w14:paraId="25152CDB" w14:textId="77777777" w:rsidR="00C46470" w:rsidRDefault="00A100AB">
      <w:pPr>
        <w:pStyle w:val="Corpsdetexte"/>
      </w:pPr>
      <w:r>
        <w:t xml:space="preserve">Quatre points de mesure sont nécessaires pour caractériser la dynamique de l’état hydrique de la plante au cours de la période végétative, avec comme </w:t>
      </w:r>
      <w:proofErr w:type="spellStart"/>
      <w:r>
        <w:t>recommadation</w:t>
      </w:r>
      <w:proofErr w:type="spellEnd"/>
      <w:r>
        <w:t xml:space="preserve"> :</w:t>
      </w:r>
    </w:p>
    <w:p w14:paraId="25152CDC" w14:textId="77777777" w:rsidR="00C46470" w:rsidRDefault="00A100AB">
      <w:pPr>
        <w:numPr>
          <w:ilvl w:val="0"/>
          <w:numId w:val="16"/>
        </w:numPr>
      </w:pPr>
      <w:proofErr w:type="gramStart"/>
      <w:r>
        <w:t>une</w:t>
      </w:r>
      <w:proofErr w:type="gramEnd"/>
      <w:r>
        <w:t xml:space="preserve"> mesure avant l’apparition du stress</w:t>
      </w:r>
    </w:p>
    <w:p w14:paraId="25152CDD" w14:textId="77777777" w:rsidR="00C46470" w:rsidRDefault="00A100AB">
      <w:pPr>
        <w:numPr>
          <w:ilvl w:val="0"/>
          <w:numId w:val="16"/>
        </w:numPr>
      </w:pPr>
      <w:proofErr w:type="gramStart"/>
      <w:r>
        <w:t>une</w:t>
      </w:r>
      <w:proofErr w:type="gramEnd"/>
      <w:r>
        <w:t xml:space="preserve"> à fermeture de grappe</w:t>
      </w:r>
    </w:p>
    <w:p w14:paraId="25152CDE" w14:textId="77777777" w:rsidR="00C46470" w:rsidRDefault="00A100AB">
      <w:pPr>
        <w:numPr>
          <w:ilvl w:val="0"/>
          <w:numId w:val="16"/>
        </w:numPr>
      </w:pPr>
      <w:proofErr w:type="gramStart"/>
      <w:r>
        <w:t>une</w:t>
      </w:r>
      <w:proofErr w:type="gramEnd"/>
      <w:r>
        <w:t xml:space="preserve"> à mi-véraison</w:t>
      </w:r>
    </w:p>
    <w:p w14:paraId="25152CDF" w14:textId="77777777" w:rsidR="00C46470" w:rsidRDefault="00A100AB">
      <w:pPr>
        <w:numPr>
          <w:ilvl w:val="0"/>
          <w:numId w:val="16"/>
        </w:numPr>
      </w:pPr>
      <w:proofErr w:type="gramStart"/>
      <w:r>
        <w:t>une</w:t>
      </w:r>
      <w:proofErr w:type="gramEnd"/>
      <w:r>
        <w:t xml:space="preserve"> avant récolte</w:t>
      </w:r>
    </w:p>
    <w:p w14:paraId="25152CE0" w14:textId="77777777" w:rsidR="00C46470" w:rsidRDefault="00A100AB">
      <w:pPr>
        <w:pStyle w:val="Titre3"/>
      </w:pPr>
      <w:bookmarkStart w:id="10" w:name="aspects-pratiques"/>
      <w:bookmarkEnd w:id="9"/>
      <w:r>
        <w:t>Aspects pratiques</w:t>
      </w:r>
    </w:p>
    <w:p w14:paraId="25152CE1" w14:textId="77777777" w:rsidR="00C46470" w:rsidRDefault="00A100AB">
      <w:r>
        <w:t>Compter en moyenne 10 minutes pour 5 feuilles pour la mesure elle-même (hors temps d’ensachage). Ce temps peut varier selon le niveau de contrainte hydrique : il faudra plus de temps pour atteindre la pression d’équilibre en cas de contrainte hydrique forte. La consommation en gaz sera aussi plus importante.</w:t>
      </w:r>
    </w:p>
    <w:p w14:paraId="25152CE2" w14:textId="77777777" w:rsidR="00C46470" w:rsidRDefault="00A100AB">
      <w:r>
        <w:br w:type="page"/>
      </w:r>
    </w:p>
    <w:p w14:paraId="25152CE3" w14:textId="77777777" w:rsidR="00C46470" w:rsidRDefault="00A100AB">
      <w:pPr>
        <w:pStyle w:val="Titre1"/>
      </w:pPr>
      <w:bookmarkStart w:id="11" w:name="traitement-des-résultats"/>
      <w:bookmarkEnd w:id="10"/>
      <w:bookmarkEnd w:id="6"/>
      <w:bookmarkEnd w:id="2"/>
      <w:r>
        <w:lastRenderedPageBreak/>
        <w:t>Traitement des résultats</w:t>
      </w:r>
    </w:p>
    <w:p w14:paraId="25152CE4" w14:textId="77777777" w:rsidR="00C46470" w:rsidRDefault="00A100AB">
      <w:pPr>
        <w:pStyle w:val="Titre2"/>
      </w:pPr>
      <w:bookmarkStart w:id="12" w:name="définition-des-variables"/>
      <w:r>
        <w:t>Définition des variables</w:t>
      </w:r>
    </w:p>
    <w:p w14:paraId="25152CE5" w14:textId="77777777" w:rsidR="00C46470" w:rsidRDefault="00A100AB">
      <w:r>
        <w:t xml:space="preserve">Mesure du potentiel hydrique foliaire de tige pour chaque feuille, exprimé en MPa (Pas de variable équivalente dans la Vitis </w:t>
      </w:r>
      <w:proofErr w:type="spellStart"/>
      <w:r>
        <w:t>Ontology</w:t>
      </w:r>
      <w:proofErr w:type="spellEnd"/>
      <w:r>
        <w:t>).</w:t>
      </w:r>
    </w:p>
    <w:p w14:paraId="25152CE6" w14:textId="77777777" w:rsidR="00C46470" w:rsidRDefault="00A100AB">
      <w:pPr>
        <w:pStyle w:val="Titre2"/>
      </w:pPr>
      <w:bookmarkStart w:id="13" w:name="interprétation-des-résultats"/>
      <w:bookmarkEnd w:id="12"/>
      <w:r>
        <w:t>Interprétation des résultats</w:t>
      </w:r>
    </w:p>
    <w:p w14:paraId="25152CE7" w14:textId="77777777" w:rsidR="00C46470" w:rsidRDefault="00A100AB">
      <w:r>
        <w:t>L’interprétation de la contrainte hydrique doit tenir compte du stade phénologique de la vigne. Une contrainte modérée précoce n’a pas les mêmes conséquences pour la plante et la production que la même contrainte survenant tardivement en saison. C’est la dynamique qui est à interpréter.</w:t>
      </w:r>
    </w:p>
    <w:p w14:paraId="25152CE8" w14:textId="77777777" w:rsidR="00C46470" w:rsidRDefault="00A100AB">
      <w:pPr>
        <w:pStyle w:val="Corpsdetexte"/>
      </w:pPr>
      <w:r>
        <w:t>Les seuils suivants [3] donnent une indication d’interprétation pour les Ψ</w:t>
      </w:r>
      <w:r>
        <w:rPr>
          <w:vertAlign w:val="subscript"/>
        </w:rPr>
        <w:t>T</w:t>
      </w:r>
      <w:r>
        <w:t>.</w:t>
      </w:r>
    </w:p>
    <w:p w14:paraId="25152CE9" w14:textId="77777777" w:rsidR="00C46470" w:rsidRDefault="00A100AB">
      <w:r>
        <w:t xml:space="preserve">Potentiel hydrique </w:t>
      </w:r>
      <w:proofErr w:type="spellStart"/>
      <w:r>
        <w:t>folaire</w:t>
      </w:r>
      <w:proofErr w:type="spellEnd"/>
      <w:r>
        <w:t xml:space="preserve"> de tige et état hydrique de la vigne</w:t>
      </w:r>
    </w:p>
    <w:tbl>
      <w:tblPr>
        <w:tblStyle w:val="TableauListe3-Accentuation1"/>
        <w:tblW w:w="5000" w:type="pct"/>
        <w:tblLayout w:type="fixed"/>
        <w:tblLook w:val="0020" w:firstRow="1" w:lastRow="0" w:firstColumn="0" w:lastColumn="0" w:noHBand="0" w:noVBand="0"/>
        <w:tblCaption w:val="Potentiel hydrique folaire de tige et état hydrique de la vigne"/>
      </w:tblPr>
      <w:tblGrid>
        <w:gridCol w:w="2482"/>
        <w:gridCol w:w="2483"/>
        <w:gridCol w:w="5105"/>
      </w:tblGrid>
      <w:tr w:rsidR="00C46470" w14:paraId="25152CED" w14:textId="77777777" w:rsidTr="00951A0B">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52" w:type="dxa"/>
          </w:tcPr>
          <w:p w14:paraId="25152CEA" w14:textId="77777777" w:rsidR="00C46470" w:rsidRDefault="00A100AB">
            <w:r>
              <w:t>Classe</w:t>
            </w:r>
          </w:p>
        </w:tc>
        <w:tc>
          <w:tcPr>
            <w:tcW w:w="1952" w:type="dxa"/>
          </w:tcPr>
          <w:p w14:paraId="25152CEB" w14:textId="77777777" w:rsidR="00C46470" w:rsidRDefault="00A100AB">
            <w:pPr>
              <w:cnfStyle w:val="100000000000" w:firstRow="1" w:lastRow="0" w:firstColumn="0" w:lastColumn="0" w:oddVBand="0" w:evenVBand="0" w:oddHBand="0" w:evenHBand="0" w:firstRowFirstColumn="0" w:firstRowLastColumn="0" w:lastRowFirstColumn="0" w:lastRowLastColumn="0"/>
            </w:pPr>
            <w:r>
              <w:t>Ψ</w:t>
            </w:r>
            <w:r>
              <w:rPr>
                <w:vertAlign w:val="subscript"/>
              </w:rPr>
              <w:t>T</w:t>
            </w:r>
            <w:r>
              <w:t xml:space="preserve"> en MPa</w:t>
            </w:r>
          </w:p>
        </w:tc>
        <w:tc>
          <w:tcPr>
            <w:cnfStyle w:val="000010000000" w:firstRow="0" w:lastRow="0" w:firstColumn="0" w:lastColumn="0" w:oddVBand="1" w:evenVBand="0" w:oddHBand="0" w:evenHBand="0" w:firstRowFirstColumn="0" w:firstRowLastColumn="0" w:lastRowFirstColumn="0" w:lastRowLastColumn="0"/>
            <w:tcW w:w="4014" w:type="dxa"/>
          </w:tcPr>
          <w:p w14:paraId="25152CEC" w14:textId="77777777" w:rsidR="00C46470" w:rsidRDefault="00A100AB">
            <w:r>
              <w:t>Niveau de contrainte hydrique</w:t>
            </w:r>
          </w:p>
        </w:tc>
      </w:tr>
      <w:tr w:rsidR="00C46470" w14:paraId="25152CF1" w14:textId="77777777" w:rsidTr="00951A0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52" w:type="dxa"/>
          </w:tcPr>
          <w:p w14:paraId="25152CEE" w14:textId="77777777" w:rsidR="00C46470" w:rsidRDefault="00A100AB">
            <w:r>
              <w:t>1</w:t>
            </w:r>
          </w:p>
        </w:tc>
        <w:tc>
          <w:tcPr>
            <w:tcW w:w="1952" w:type="dxa"/>
          </w:tcPr>
          <w:p w14:paraId="25152CEF" w14:textId="77777777" w:rsidR="00C46470" w:rsidRDefault="00A100AB">
            <w:pPr>
              <w:cnfStyle w:val="000000100000" w:firstRow="0" w:lastRow="0" w:firstColumn="0" w:lastColumn="0" w:oddVBand="0" w:evenVBand="0" w:oddHBand="1" w:evenHBand="0" w:firstRowFirstColumn="0" w:firstRowLastColumn="0" w:lastRowFirstColumn="0" w:lastRowLastColumn="0"/>
            </w:pPr>
            <w:r>
              <w:t>0 ≥ Ψ</w:t>
            </w:r>
            <w:r>
              <w:rPr>
                <w:vertAlign w:val="subscript"/>
              </w:rPr>
              <w:t>T</w:t>
            </w:r>
            <w:r>
              <w:t xml:space="preserve"> ≥ -0,6</w:t>
            </w:r>
          </w:p>
        </w:tc>
        <w:tc>
          <w:tcPr>
            <w:cnfStyle w:val="000010000000" w:firstRow="0" w:lastRow="0" w:firstColumn="0" w:lastColumn="0" w:oddVBand="1" w:evenVBand="0" w:oddHBand="0" w:evenHBand="0" w:firstRowFirstColumn="0" w:firstRowLastColumn="0" w:lastRowFirstColumn="0" w:lastRowLastColumn="0"/>
            <w:tcW w:w="4014" w:type="dxa"/>
          </w:tcPr>
          <w:p w14:paraId="25152CF0" w14:textId="77777777" w:rsidR="00C46470" w:rsidRDefault="00A100AB">
            <w:r>
              <w:t>Pas de déficit hydrique</w:t>
            </w:r>
          </w:p>
        </w:tc>
      </w:tr>
      <w:tr w:rsidR="00C46470" w14:paraId="25152CF5" w14:textId="77777777" w:rsidTr="00951A0B">
        <w:tc>
          <w:tcPr>
            <w:cnfStyle w:val="000010000000" w:firstRow="0" w:lastRow="0" w:firstColumn="0" w:lastColumn="0" w:oddVBand="1" w:evenVBand="0" w:oddHBand="0" w:evenHBand="0" w:firstRowFirstColumn="0" w:firstRowLastColumn="0" w:lastRowFirstColumn="0" w:lastRowLastColumn="0"/>
            <w:tcW w:w="1952" w:type="dxa"/>
          </w:tcPr>
          <w:p w14:paraId="25152CF2" w14:textId="77777777" w:rsidR="00C46470" w:rsidRDefault="00A100AB">
            <w:r>
              <w:t>2</w:t>
            </w:r>
          </w:p>
        </w:tc>
        <w:tc>
          <w:tcPr>
            <w:tcW w:w="1952" w:type="dxa"/>
          </w:tcPr>
          <w:p w14:paraId="25152CF3" w14:textId="77777777" w:rsidR="00C46470" w:rsidRDefault="00A100AB">
            <w:pPr>
              <w:cnfStyle w:val="000000000000" w:firstRow="0" w:lastRow="0" w:firstColumn="0" w:lastColumn="0" w:oddVBand="0" w:evenVBand="0" w:oddHBand="0" w:evenHBand="0" w:firstRowFirstColumn="0" w:firstRowLastColumn="0" w:lastRowFirstColumn="0" w:lastRowLastColumn="0"/>
            </w:pPr>
            <w:r>
              <w:t>-0,7 &gt; Ψ</w:t>
            </w:r>
            <w:r>
              <w:rPr>
                <w:vertAlign w:val="subscript"/>
              </w:rPr>
              <w:t>T</w:t>
            </w:r>
            <w:r>
              <w:t xml:space="preserve"> ≥ -1,1</w:t>
            </w:r>
          </w:p>
        </w:tc>
        <w:tc>
          <w:tcPr>
            <w:cnfStyle w:val="000010000000" w:firstRow="0" w:lastRow="0" w:firstColumn="0" w:lastColumn="0" w:oddVBand="1" w:evenVBand="0" w:oddHBand="0" w:evenHBand="0" w:firstRowFirstColumn="0" w:firstRowLastColumn="0" w:lastRowFirstColumn="0" w:lastRowLastColumn="0"/>
            <w:tcW w:w="4014" w:type="dxa"/>
          </w:tcPr>
          <w:p w14:paraId="25152CF4" w14:textId="77777777" w:rsidR="00C46470" w:rsidRDefault="00A100AB">
            <w:r>
              <w:t>Déficit hydrique faible à modéré</w:t>
            </w:r>
          </w:p>
        </w:tc>
      </w:tr>
      <w:tr w:rsidR="00C46470" w14:paraId="25152CF9" w14:textId="77777777" w:rsidTr="00951A0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52" w:type="dxa"/>
          </w:tcPr>
          <w:p w14:paraId="25152CF6" w14:textId="77777777" w:rsidR="00C46470" w:rsidRDefault="00A100AB">
            <w:r>
              <w:t>3</w:t>
            </w:r>
          </w:p>
        </w:tc>
        <w:tc>
          <w:tcPr>
            <w:tcW w:w="1952" w:type="dxa"/>
          </w:tcPr>
          <w:p w14:paraId="25152CF7" w14:textId="77777777" w:rsidR="00C46470" w:rsidRDefault="00A100AB">
            <w:pPr>
              <w:cnfStyle w:val="000000100000" w:firstRow="0" w:lastRow="0" w:firstColumn="0" w:lastColumn="0" w:oddVBand="0" w:evenVBand="0" w:oddHBand="1" w:evenHBand="0" w:firstRowFirstColumn="0" w:firstRowLastColumn="0" w:lastRowFirstColumn="0" w:lastRowLastColumn="0"/>
            </w:pPr>
            <w:r>
              <w:t>-1,2 &gt; Ψ</w:t>
            </w:r>
            <w:r>
              <w:rPr>
                <w:vertAlign w:val="subscript"/>
              </w:rPr>
              <w:t>T</w:t>
            </w:r>
            <w:r>
              <w:t xml:space="preserve"> ≥ -1,6</w:t>
            </w:r>
          </w:p>
        </w:tc>
        <w:tc>
          <w:tcPr>
            <w:cnfStyle w:val="000010000000" w:firstRow="0" w:lastRow="0" w:firstColumn="0" w:lastColumn="0" w:oddVBand="1" w:evenVBand="0" w:oddHBand="0" w:evenHBand="0" w:firstRowFirstColumn="0" w:firstRowLastColumn="0" w:lastRowFirstColumn="0" w:lastRowLastColumn="0"/>
            <w:tcW w:w="4014" w:type="dxa"/>
          </w:tcPr>
          <w:p w14:paraId="25152CF8" w14:textId="77777777" w:rsidR="00C46470" w:rsidRDefault="00A100AB">
            <w:r>
              <w:t>Déficit hydrique modéré à sévère (selon cépage)</w:t>
            </w:r>
          </w:p>
        </w:tc>
      </w:tr>
      <w:tr w:rsidR="00C46470" w14:paraId="25152CFD" w14:textId="77777777" w:rsidTr="00951A0B">
        <w:tc>
          <w:tcPr>
            <w:cnfStyle w:val="000010000000" w:firstRow="0" w:lastRow="0" w:firstColumn="0" w:lastColumn="0" w:oddVBand="1" w:evenVBand="0" w:oddHBand="0" w:evenHBand="0" w:firstRowFirstColumn="0" w:firstRowLastColumn="0" w:lastRowFirstColumn="0" w:lastRowLastColumn="0"/>
            <w:tcW w:w="1952" w:type="dxa"/>
          </w:tcPr>
          <w:p w14:paraId="25152CFA" w14:textId="77777777" w:rsidR="00C46470" w:rsidRDefault="00A100AB">
            <w:r>
              <w:t>4</w:t>
            </w:r>
          </w:p>
        </w:tc>
        <w:tc>
          <w:tcPr>
            <w:tcW w:w="1952" w:type="dxa"/>
          </w:tcPr>
          <w:p w14:paraId="25152CFB" w14:textId="77777777" w:rsidR="00C46470" w:rsidRDefault="00A100AB">
            <w:pPr>
              <w:cnfStyle w:val="000000000000" w:firstRow="0" w:lastRow="0" w:firstColumn="0" w:lastColumn="0" w:oddVBand="0" w:evenVBand="0" w:oddHBand="0" w:evenHBand="0" w:firstRowFirstColumn="0" w:firstRowLastColumn="0" w:lastRowFirstColumn="0" w:lastRowLastColumn="0"/>
            </w:pPr>
            <w:r>
              <w:t>Ψ</w:t>
            </w:r>
            <w:r>
              <w:rPr>
                <w:vertAlign w:val="subscript"/>
              </w:rPr>
              <w:t>B</w:t>
            </w:r>
            <w:r>
              <w:t xml:space="preserve"> &lt; -1,6</w:t>
            </w:r>
          </w:p>
        </w:tc>
        <w:tc>
          <w:tcPr>
            <w:cnfStyle w:val="000010000000" w:firstRow="0" w:lastRow="0" w:firstColumn="0" w:lastColumn="0" w:oddVBand="1" w:evenVBand="0" w:oddHBand="0" w:evenHBand="0" w:firstRowFirstColumn="0" w:firstRowLastColumn="0" w:lastRowFirstColumn="0" w:lastRowLastColumn="0"/>
            <w:tcW w:w="4014" w:type="dxa"/>
          </w:tcPr>
          <w:p w14:paraId="25152CFC" w14:textId="77777777" w:rsidR="00C46470" w:rsidRDefault="00A100AB">
            <w:r>
              <w:t xml:space="preserve">Déficit hydrique sévère à </w:t>
            </w:r>
            <w:proofErr w:type="spellStart"/>
            <w:r>
              <w:t>élevé</w:t>
            </w:r>
            <w:proofErr w:type="spellEnd"/>
            <w:r>
              <w:t xml:space="preserve"> (=stress)</w:t>
            </w:r>
          </w:p>
        </w:tc>
      </w:tr>
    </w:tbl>
    <w:p w14:paraId="25152CFE" w14:textId="77777777" w:rsidR="00C46470" w:rsidRDefault="00A100AB">
      <w:pPr>
        <w:pStyle w:val="Corpsdetexte"/>
      </w:pPr>
      <w:r>
        <w:t>Attention, les mesures de Ψ</w:t>
      </w:r>
      <w:r>
        <w:rPr>
          <w:vertAlign w:val="subscript"/>
        </w:rPr>
        <w:t>T</w:t>
      </w:r>
      <w:r>
        <w:t xml:space="preserve"> peuvent surestimer le stress hydrique réellement subi par la vigne en cas de sécheresse ou de fort déficit de pression de vapeur d’eau de l’atmosphère (chaleur, vent) [2].</w:t>
      </w:r>
    </w:p>
    <w:p w14:paraId="25152CFF" w14:textId="77777777" w:rsidR="00C46470" w:rsidRDefault="00A100AB">
      <w:pPr>
        <w:pStyle w:val="Titre1"/>
      </w:pPr>
      <w:bookmarkStart w:id="14" w:name="compléments-dinformation"/>
      <w:bookmarkEnd w:id="13"/>
      <w:bookmarkEnd w:id="11"/>
      <w:r>
        <w:t>Compléments d’information</w:t>
      </w:r>
    </w:p>
    <w:p w14:paraId="25152D00" w14:textId="77777777" w:rsidR="00C46470" w:rsidRDefault="00A100AB">
      <w:pPr>
        <w:pStyle w:val="Titre2"/>
      </w:pPr>
      <w:bookmarkStart w:id="15" w:name="ressources-complémentaires"/>
      <w:r>
        <w:t>Ressources complémentaires</w:t>
      </w:r>
    </w:p>
    <w:p w14:paraId="25152D01" w14:textId="77777777" w:rsidR="00C46470" w:rsidRDefault="00A100AB">
      <w:hyperlink r:id="rId12">
        <w:r w:rsidRPr="00A100AB">
          <w:rPr>
            <w:color w:val="0000FF"/>
            <w:u w:val="single"/>
          </w:rPr>
          <w:t>Fiche mesure du potentiel hydrique de tige</w:t>
        </w:r>
      </w:hyperlink>
      <w:r>
        <w:t>, IFV Occitanie</w:t>
      </w:r>
    </w:p>
    <w:p w14:paraId="25152D02" w14:textId="77777777" w:rsidR="00C46470" w:rsidRDefault="00A100AB">
      <w:pPr>
        <w:pStyle w:val="Corpsdetexte"/>
      </w:pPr>
      <w:hyperlink r:id="rId13">
        <w:proofErr w:type="spellStart"/>
        <w:r w:rsidRPr="00A100AB">
          <w:rPr>
            <w:color w:val="0000FF"/>
            <w:u w:val="single"/>
          </w:rPr>
          <w:t>Video</w:t>
        </w:r>
        <w:proofErr w:type="spellEnd"/>
        <w:r w:rsidRPr="00A100AB">
          <w:rPr>
            <w:color w:val="0000FF"/>
            <w:u w:val="single"/>
          </w:rPr>
          <w:t xml:space="preserve"> de démonstration</w:t>
        </w:r>
      </w:hyperlink>
    </w:p>
    <w:p w14:paraId="25152D03" w14:textId="77777777" w:rsidR="00C46470" w:rsidRDefault="00A100AB">
      <w:pPr>
        <w:pStyle w:val="Corpsdetexte"/>
      </w:pPr>
      <w:hyperlink r:id="rId14">
        <w:r w:rsidRPr="00A100AB">
          <w:rPr>
            <w:color w:val="0000FF"/>
            <w:u w:val="single"/>
          </w:rPr>
          <w:t>Fiche sur l’estimation de l’état hydrique de la vigne</w:t>
        </w:r>
      </w:hyperlink>
      <w:r>
        <w:t>, IFV Occitanie</w:t>
      </w:r>
    </w:p>
    <w:p w14:paraId="25152D04" w14:textId="77777777" w:rsidR="00C46470" w:rsidRPr="00951A0B" w:rsidRDefault="00A100AB">
      <w:pPr>
        <w:pStyle w:val="Titre2"/>
        <w:rPr>
          <w:lang w:val="en-US"/>
        </w:rPr>
      </w:pPr>
      <w:bookmarkStart w:id="16" w:name="références"/>
      <w:bookmarkEnd w:id="15"/>
      <w:r w:rsidRPr="00951A0B">
        <w:rPr>
          <w:lang w:val="en-US"/>
        </w:rPr>
        <w:t>Références</w:t>
      </w:r>
    </w:p>
    <w:p w14:paraId="25152D05" w14:textId="77777777" w:rsidR="00C46470" w:rsidRPr="00951A0B" w:rsidRDefault="00A100AB">
      <w:pPr>
        <w:rPr>
          <w:lang w:val="en-US"/>
        </w:rPr>
      </w:pPr>
      <w:bookmarkStart w:id="17" w:name="ref-choné2001"/>
      <w:bookmarkStart w:id="18" w:name="refs"/>
      <w:r w:rsidRPr="00951A0B">
        <w:rPr>
          <w:lang w:val="en-US"/>
        </w:rPr>
        <w:t>1</w:t>
      </w:r>
      <w:proofErr w:type="gramStart"/>
      <w:r w:rsidRPr="00951A0B">
        <w:rPr>
          <w:lang w:val="en-US"/>
        </w:rPr>
        <w:t xml:space="preserve">. </w:t>
      </w:r>
      <w:r w:rsidRPr="00951A0B">
        <w:rPr>
          <w:lang w:val="en-US"/>
        </w:rPr>
        <w:tab/>
        <w:t>Choné</w:t>
      </w:r>
      <w:proofErr w:type="gramEnd"/>
      <w:r w:rsidRPr="00951A0B">
        <w:rPr>
          <w:lang w:val="en-US"/>
        </w:rPr>
        <w:t xml:space="preserve">, X. Stem Water Potential is a Sensitive Indicator of Grapevine Water Status. </w:t>
      </w:r>
      <w:r w:rsidRPr="00951A0B">
        <w:rPr>
          <w:i/>
          <w:iCs/>
          <w:lang w:val="en-US"/>
        </w:rPr>
        <w:t>Annals of Botany</w:t>
      </w:r>
      <w:r w:rsidRPr="00951A0B">
        <w:rPr>
          <w:lang w:val="en-US"/>
        </w:rPr>
        <w:t xml:space="preserve"> </w:t>
      </w:r>
      <w:r w:rsidRPr="00951A0B">
        <w:rPr>
          <w:b/>
          <w:bCs/>
          <w:lang w:val="en-US"/>
        </w:rPr>
        <w:t>2001</w:t>
      </w:r>
      <w:r w:rsidRPr="00951A0B">
        <w:rPr>
          <w:lang w:val="en-US"/>
        </w:rPr>
        <w:t xml:space="preserve">, </w:t>
      </w:r>
      <w:r w:rsidRPr="00951A0B">
        <w:rPr>
          <w:i/>
          <w:iCs/>
          <w:lang w:val="en-US"/>
        </w:rPr>
        <w:t>87</w:t>
      </w:r>
      <w:r w:rsidRPr="00951A0B">
        <w:rPr>
          <w:lang w:val="en-US"/>
        </w:rPr>
        <w:t>, 477‑483, doi:</w:t>
      </w:r>
      <w:r>
        <w:fldChar w:fldCharType="begin"/>
      </w:r>
      <w:r w:rsidRPr="00951A0B">
        <w:rPr>
          <w:lang w:val="en-US"/>
        </w:rPr>
        <w:instrText>HYPERLINK "https://doi.org/10.1006/anbo.2000.1361" \h</w:instrText>
      </w:r>
      <w:r>
        <w:fldChar w:fldCharType="separate"/>
      </w:r>
      <w:r w:rsidRPr="00951A0B">
        <w:rPr>
          <w:color w:val="0000FF"/>
          <w:u w:val="single"/>
          <w:lang w:val="en-US"/>
        </w:rPr>
        <w:t>10.1006/anbo.2000.1361</w:t>
      </w:r>
      <w:r>
        <w:fldChar w:fldCharType="end"/>
      </w:r>
      <w:r w:rsidRPr="00951A0B">
        <w:rPr>
          <w:lang w:val="en-US"/>
        </w:rPr>
        <w:t>.</w:t>
      </w:r>
    </w:p>
    <w:p w14:paraId="25152D06" w14:textId="77777777" w:rsidR="00C46470" w:rsidRPr="00951A0B" w:rsidRDefault="00A100AB">
      <w:pPr>
        <w:rPr>
          <w:lang w:val="en-US"/>
        </w:rPr>
      </w:pPr>
      <w:bookmarkStart w:id="19" w:name="ref-rienth2023"/>
      <w:bookmarkEnd w:id="17"/>
      <w:r w:rsidRPr="00951A0B">
        <w:rPr>
          <w:lang w:val="en-US"/>
        </w:rPr>
        <w:t xml:space="preserve">2. </w:t>
      </w:r>
      <w:r w:rsidRPr="00951A0B">
        <w:rPr>
          <w:lang w:val="en-US"/>
        </w:rPr>
        <w:tab/>
        <w:t xml:space="preserve">Rienth, M.; Laurent, C.; Scholasch, T. Review of Plant-Based Methods for Assessing Vine Water Status: Sourced from the Research Article: “State-of-the-Art of Tools and Methods to Assess Vine Water Status” (OENO One, 2019). Original Language of the Article: English. </w:t>
      </w:r>
      <w:r w:rsidRPr="00951A0B">
        <w:rPr>
          <w:i/>
          <w:iCs/>
          <w:lang w:val="en-US"/>
        </w:rPr>
        <w:t>IVES Technical Reviews, vine and wine</w:t>
      </w:r>
      <w:r w:rsidRPr="00951A0B">
        <w:rPr>
          <w:lang w:val="en-US"/>
        </w:rPr>
        <w:t xml:space="preserve"> </w:t>
      </w:r>
      <w:r w:rsidRPr="00951A0B">
        <w:rPr>
          <w:b/>
          <w:bCs/>
          <w:lang w:val="en-US"/>
        </w:rPr>
        <w:t>2023</w:t>
      </w:r>
      <w:r w:rsidRPr="00951A0B">
        <w:rPr>
          <w:lang w:val="en-US"/>
        </w:rPr>
        <w:t>, doi:</w:t>
      </w:r>
      <w:hyperlink r:id="rId15">
        <w:r w:rsidRPr="00951A0B">
          <w:rPr>
            <w:color w:val="0000FF"/>
            <w:u w:val="single"/>
            <w:lang w:val="en-US"/>
          </w:rPr>
          <w:t>10.20870/IVES-TR.2023.7401</w:t>
        </w:r>
      </w:hyperlink>
      <w:r w:rsidRPr="00951A0B">
        <w:rPr>
          <w:lang w:val="en-US"/>
        </w:rPr>
        <w:t>.</w:t>
      </w:r>
    </w:p>
    <w:p w14:paraId="25152D07" w14:textId="77777777" w:rsidR="00C46470" w:rsidRDefault="00A100AB">
      <w:bookmarkStart w:id="20" w:name="ref-deloire2020"/>
      <w:bookmarkEnd w:id="19"/>
      <w:r w:rsidRPr="00951A0B">
        <w:rPr>
          <w:lang w:val="en-US"/>
        </w:rPr>
        <w:t xml:space="preserve">3. </w:t>
      </w:r>
      <w:r w:rsidRPr="00951A0B">
        <w:rPr>
          <w:lang w:val="en-US"/>
        </w:rPr>
        <w:tab/>
      </w:r>
      <w:proofErr w:type="spellStart"/>
      <w:r w:rsidRPr="00951A0B">
        <w:rPr>
          <w:lang w:val="en-US"/>
        </w:rPr>
        <w:t>Deloire</w:t>
      </w:r>
      <w:proofErr w:type="spellEnd"/>
      <w:r w:rsidRPr="00951A0B">
        <w:rPr>
          <w:lang w:val="en-US"/>
        </w:rPr>
        <w:t xml:space="preserve">, A.; Pellegrino, A.; Rogiers, S. A Few Words on Grapevine Leaf Water </w:t>
      </w:r>
      <w:proofErr w:type="gramStart"/>
      <w:r w:rsidRPr="00951A0B">
        <w:rPr>
          <w:lang w:val="en-US"/>
        </w:rPr>
        <w:t>Potential :</w:t>
      </w:r>
      <w:proofErr w:type="gramEnd"/>
      <w:r w:rsidRPr="00951A0B">
        <w:rPr>
          <w:lang w:val="en-US"/>
        </w:rPr>
        <w:t xml:space="preserve"> Original Language of the Article: English. </w:t>
      </w:r>
      <w:r>
        <w:rPr>
          <w:i/>
          <w:iCs/>
        </w:rPr>
        <w:t xml:space="preserve">IVES </w:t>
      </w:r>
      <w:proofErr w:type="spellStart"/>
      <w:r>
        <w:rPr>
          <w:i/>
          <w:iCs/>
        </w:rPr>
        <w:t>Technical</w:t>
      </w:r>
      <w:proofErr w:type="spellEnd"/>
      <w:r>
        <w:rPr>
          <w:i/>
          <w:iCs/>
        </w:rPr>
        <w:t xml:space="preserve"> </w:t>
      </w:r>
      <w:proofErr w:type="spellStart"/>
      <w:r>
        <w:rPr>
          <w:i/>
          <w:iCs/>
        </w:rPr>
        <w:t>Reviews</w:t>
      </w:r>
      <w:proofErr w:type="spellEnd"/>
      <w:r>
        <w:rPr>
          <w:i/>
          <w:iCs/>
        </w:rPr>
        <w:t xml:space="preserve">, vine and </w:t>
      </w:r>
      <w:proofErr w:type="spellStart"/>
      <w:r>
        <w:rPr>
          <w:i/>
          <w:iCs/>
        </w:rPr>
        <w:t>wine</w:t>
      </w:r>
      <w:proofErr w:type="spellEnd"/>
      <w:r>
        <w:t xml:space="preserve"> </w:t>
      </w:r>
      <w:r>
        <w:rPr>
          <w:b/>
          <w:bCs/>
        </w:rPr>
        <w:t>2020</w:t>
      </w:r>
      <w:r>
        <w:t xml:space="preserve">, </w:t>
      </w:r>
      <w:proofErr w:type="gramStart"/>
      <w:r>
        <w:t>doi:</w:t>
      </w:r>
      <w:proofErr w:type="gramEnd"/>
      <w:hyperlink r:id="rId16">
        <w:r w:rsidRPr="00A100AB">
          <w:rPr>
            <w:color w:val="0000FF"/>
            <w:u w:val="single"/>
          </w:rPr>
          <w:t>10.20870/IVES-TR.2020.3620</w:t>
        </w:r>
      </w:hyperlink>
      <w:r>
        <w:t>.</w:t>
      </w:r>
    </w:p>
    <w:bookmarkEnd w:id="20"/>
    <w:bookmarkEnd w:id="18"/>
    <w:bookmarkEnd w:id="16"/>
    <w:bookmarkEnd w:id="14"/>
    <w:sectPr w:rsidR="00C46470" w:rsidSect="003905BB">
      <w:headerReference w:type="even" r:id="rId17"/>
      <w:headerReference w:type="default" r:id="rId18"/>
      <w:footerReference w:type="even" r:id="rId19"/>
      <w:footerReference w:type="default" r:id="rId20"/>
      <w:headerReference w:type="first" r:id="rId21"/>
      <w:footerReference w:type="first" r:id="rId22"/>
      <w:pgSz w:w="12240" w:h="15840"/>
      <w:pgMar w:top="1440" w:right="1080" w:bottom="1440" w:left="1080" w:header="720"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152D1B" w14:textId="77777777" w:rsidR="00A100AB" w:rsidRDefault="00A100AB">
      <w:pPr>
        <w:spacing w:after="0" w:line="240" w:lineRule="auto"/>
      </w:pPr>
      <w:r>
        <w:separator/>
      </w:r>
    </w:p>
  </w:endnote>
  <w:endnote w:type="continuationSeparator" w:id="0">
    <w:p w14:paraId="25152D1D" w14:textId="77777777" w:rsidR="00A100AB" w:rsidRDefault="00A10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152D12" w14:textId="77777777" w:rsidR="007C57A7" w:rsidRDefault="007C57A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152D13" w14:textId="77777777" w:rsidR="003F52F5" w:rsidRDefault="00A13D49" w:rsidP="009D1282">
    <w:pPr>
      <w:pStyle w:val="Pieddepage"/>
      <w:jc w:val="center"/>
    </w:pPr>
    <w:r>
      <w:t>-</w:t>
    </w:r>
    <w:r>
      <w:fldChar w:fldCharType="begin"/>
    </w:r>
    <w:r>
      <w:instrText xml:space="preserve"> PAGE   \* MERGEFORMAT </w:instrText>
    </w:r>
    <w:r>
      <w:fldChar w:fldCharType="separate"/>
    </w:r>
    <w:r>
      <w:rPr>
        <w:noProof/>
      </w:rPr>
      <w:t>1</w:t>
    </w:r>
    <w:r>
      <w:fldChar w:fldCharType="end"/>
    </w:r>
    <w:r>
      <w:t>/</w:t>
    </w:r>
    <w:fldSimple w:instr=" NUMPAGES   \* MERGEFORMAT ">
      <w:r>
        <w:rPr>
          <w:noProof/>
        </w:rPr>
        <w:t>1</w:t>
      </w:r>
    </w:fldSimple>
    <w:r>
      <w:t>-</w:t>
    </w:r>
  </w:p>
  <w:p w14:paraId="25152D14" w14:textId="77777777" w:rsidR="006A0086" w:rsidRPr="009D1282" w:rsidRDefault="007C57A7" w:rsidP="007C57A7">
    <w:pPr>
      <w:pStyle w:val="Pieddepage"/>
      <w:jc w:val="right"/>
      <w:rPr>
        <w:sz w:val="18"/>
        <w:szCs w:val="18"/>
      </w:rPr>
    </w:pPr>
    <w:r>
      <w:rPr>
        <w:b/>
        <w:bCs/>
        <w:sz w:val="18"/>
        <w:szCs w:val="18"/>
      </w:rPr>
      <w:t>CC BY-SA 4.0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152D16" w14:textId="77777777" w:rsidR="007C57A7" w:rsidRDefault="007C57A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152D17" w14:textId="77777777" w:rsidR="00A100AB" w:rsidRDefault="00A100AB">
      <w:pPr>
        <w:spacing w:after="0" w:line="240" w:lineRule="auto"/>
      </w:pPr>
      <w:r>
        <w:separator/>
      </w:r>
    </w:p>
  </w:footnote>
  <w:footnote w:type="continuationSeparator" w:id="0">
    <w:p w14:paraId="25152D19" w14:textId="77777777" w:rsidR="00A100AB" w:rsidRDefault="00A100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152D10" w14:textId="77777777" w:rsidR="007C57A7" w:rsidRDefault="007C57A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152D11" w14:textId="77777777" w:rsidR="007C57A7" w:rsidRDefault="007C57A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152D15" w14:textId="77777777" w:rsidR="007C57A7" w:rsidRDefault="007C57A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000A990"/>
    <w:multiLevelType w:val="multilevel"/>
    <w:tmpl w:val="3DC6389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0" w15:restartNumberingAfterBreak="0">
    <w:nsid w:val="0000A991"/>
    <w:multiLevelType w:val="multilevel"/>
    <w:tmpl w:val="565801A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034428362">
    <w:abstractNumId w:val="8"/>
  </w:num>
  <w:num w:numId="2" w16cid:durableId="49308092">
    <w:abstractNumId w:val="6"/>
  </w:num>
  <w:num w:numId="3" w16cid:durableId="82535311">
    <w:abstractNumId w:val="5"/>
  </w:num>
  <w:num w:numId="4" w16cid:durableId="725881029">
    <w:abstractNumId w:val="4"/>
  </w:num>
  <w:num w:numId="5" w16cid:durableId="2100102728">
    <w:abstractNumId w:val="7"/>
  </w:num>
  <w:num w:numId="6" w16cid:durableId="1144393015">
    <w:abstractNumId w:val="3"/>
  </w:num>
  <w:num w:numId="7" w16cid:durableId="109786419">
    <w:abstractNumId w:val="2"/>
  </w:num>
  <w:num w:numId="8" w16cid:durableId="574628751">
    <w:abstractNumId w:val="1"/>
  </w:num>
  <w:num w:numId="9" w16cid:durableId="2028291403">
    <w:abstractNumId w:val="0"/>
  </w:num>
  <w:num w:numId="10" w16cid:durableId="345987694">
    <w:abstractNumId w:val="9"/>
  </w:num>
  <w:num w:numId="11" w16cid:durableId="174997421">
    <w:abstractNumId w:val="10"/>
  </w:num>
  <w:num w:numId="12" w16cid:durableId="746458382">
    <w:abstractNumId w:val="10"/>
  </w:num>
  <w:num w:numId="13" w16cid:durableId="721640034">
    <w:abstractNumId w:val="10"/>
  </w:num>
  <w:num w:numId="14" w16cid:durableId="1588885135">
    <w:abstractNumId w:val="10"/>
  </w:num>
  <w:num w:numId="15" w16cid:durableId="1727879072">
    <w:abstractNumId w:val="10"/>
  </w:num>
  <w:num w:numId="16" w16cid:durableId="21286991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00F6"/>
    <w:rsid w:val="00034616"/>
    <w:rsid w:val="0006063C"/>
    <w:rsid w:val="0015074B"/>
    <w:rsid w:val="0023566B"/>
    <w:rsid w:val="00237E62"/>
    <w:rsid w:val="0024505F"/>
    <w:rsid w:val="0025448C"/>
    <w:rsid w:val="0029639D"/>
    <w:rsid w:val="003150A9"/>
    <w:rsid w:val="00326F90"/>
    <w:rsid w:val="003362E3"/>
    <w:rsid w:val="003905BB"/>
    <w:rsid w:val="003E4CC1"/>
    <w:rsid w:val="003F44FE"/>
    <w:rsid w:val="003F52F5"/>
    <w:rsid w:val="00524418"/>
    <w:rsid w:val="005326A4"/>
    <w:rsid w:val="0054382C"/>
    <w:rsid w:val="0063066D"/>
    <w:rsid w:val="00631A70"/>
    <w:rsid w:val="00647167"/>
    <w:rsid w:val="00687F95"/>
    <w:rsid w:val="006A0086"/>
    <w:rsid w:val="00730D5F"/>
    <w:rsid w:val="007C3444"/>
    <w:rsid w:val="007C57A7"/>
    <w:rsid w:val="007D518E"/>
    <w:rsid w:val="0082600C"/>
    <w:rsid w:val="008A4521"/>
    <w:rsid w:val="008B0E61"/>
    <w:rsid w:val="008E6D1B"/>
    <w:rsid w:val="00951A0B"/>
    <w:rsid w:val="009D1282"/>
    <w:rsid w:val="009E755B"/>
    <w:rsid w:val="00A100AB"/>
    <w:rsid w:val="00A13D49"/>
    <w:rsid w:val="00A5547A"/>
    <w:rsid w:val="00AA1D8D"/>
    <w:rsid w:val="00AC3C66"/>
    <w:rsid w:val="00B16F7A"/>
    <w:rsid w:val="00B24F69"/>
    <w:rsid w:val="00B45D16"/>
    <w:rsid w:val="00B47730"/>
    <w:rsid w:val="00BC7AAE"/>
    <w:rsid w:val="00BF396F"/>
    <w:rsid w:val="00C408A2"/>
    <w:rsid w:val="00C46470"/>
    <w:rsid w:val="00C578C0"/>
    <w:rsid w:val="00CB0664"/>
    <w:rsid w:val="00CF241D"/>
    <w:rsid w:val="00D17CA5"/>
    <w:rsid w:val="00D22480"/>
    <w:rsid w:val="00D25947"/>
    <w:rsid w:val="00D36659"/>
    <w:rsid w:val="00D811EB"/>
    <w:rsid w:val="00D853E3"/>
    <w:rsid w:val="00DF4E41"/>
    <w:rsid w:val="00E76580"/>
    <w:rsid w:val="00E9061D"/>
    <w:rsid w:val="00EB181D"/>
    <w:rsid w:val="00EC03B5"/>
    <w:rsid w:val="00F24BFC"/>
    <w:rsid w:val="00FC693F"/>
    <w:rsid w:val="00FE60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5152CA8"/>
  <w15:docId w15:val="{FB2AA75A-E45C-4758-BC75-F84CAA109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3E3"/>
    <w:rPr>
      <w:rFonts w:ascii="Calibri" w:hAnsi="Calibri" w:cs="Arial"/>
    </w:rPr>
  </w:style>
  <w:style w:type="paragraph" w:styleId="Titre1">
    <w:name w:val="heading 1"/>
    <w:basedOn w:val="Normal"/>
    <w:next w:val="Normal"/>
    <w:link w:val="Titre1Car"/>
    <w:uiPriority w:val="9"/>
    <w:qFormat/>
    <w:rsid w:val="000200F6"/>
    <w:pPr>
      <w:keepNext/>
      <w:keepLines/>
      <w:spacing w:before="480" w:after="0"/>
      <w:outlineLvl w:val="0"/>
    </w:pPr>
    <w:rPr>
      <w:rFonts w:eastAsiaTheme="majorEastAsia"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200F6"/>
    <w:pPr>
      <w:keepNext/>
      <w:keepLines/>
      <w:spacing w:before="200" w:after="0"/>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0200F6"/>
    <w:pPr>
      <w:keepNext/>
      <w:keepLines/>
      <w:spacing w:before="200" w:after="0"/>
      <w:outlineLvl w:val="2"/>
    </w:pPr>
    <w:rPr>
      <w:rFonts w:eastAsiaTheme="majorEastAsia"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0200F6"/>
    <w:rPr>
      <w:rFonts w:ascii="Arial" w:eastAsiaTheme="majorEastAsia" w:hAnsi="Arial" w:cstheme="majorBidi"/>
      <w:b/>
      <w:bCs/>
      <w:color w:val="365F91" w:themeColor="accent1" w:themeShade="BF"/>
      <w:sz w:val="28"/>
      <w:szCs w:val="28"/>
      <w:lang w:val="fr"/>
    </w:rPr>
  </w:style>
  <w:style w:type="character" w:customStyle="1" w:styleId="Titre2Car">
    <w:name w:val="Titre 2 Car"/>
    <w:basedOn w:val="Policepardfaut"/>
    <w:link w:val="Titre2"/>
    <w:uiPriority w:val="9"/>
    <w:rsid w:val="000200F6"/>
    <w:rPr>
      <w:rFonts w:ascii="Arial" w:eastAsiaTheme="majorEastAsia" w:hAnsi="Arial" w:cstheme="majorBidi"/>
      <w:b/>
      <w:bCs/>
      <w:color w:val="4F81BD" w:themeColor="accent1"/>
      <w:sz w:val="26"/>
      <w:szCs w:val="26"/>
      <w:lang w:val="fr"/>
    </w:rPr>
  </w:style>
  <w:style w:type="character" w:customStyle="1" w:styleId="Titre3Car">
    <w:name w:val="Titre 3 Car"/>
    <w:basedOn w:val="Policepardfaut"/>
    <w:link w:val="Titre3"/>
    <w:uiPriority w:val="9"/>
    <w:rsid w:val="000200F6"/>
    <w:rPr>
      <w:rFonts w:ascii="Arial" w:eastAsiaTheme="majorEastAsia" w:hAnsi="Arial" w:cstheme="majorBidi"/>
      <w:b/>
      <w:bCs/>
      <w:color w:val="4F81BD" w:themeColor="accent1"/>
      <w:lang w:val="fr"/>
    </w:rPr>
  </w:style>
  <w:style w:type="paragraph" w:styleId="Titre">
    <w:name w:val="Title"/>
    <w:basedOn w:val="Normal"/>
    <w:next w:val="Normal"/>
    <w:link w:val="TitreCar"/>
    <w:uiPriority w:val="10"/>
    <w:qFormat/>
    <w:rsid w:val="000200F6"/>
    <w:pPr>
      <w:pBdr>
        <w:bottom w:val="single" w:sz="8" w:space="4" w:color="4F81BD" w:themeColor="accent1"/>
      </w:pBdr>
      <w:spacing w:after="300" w:line="240" w:lineRule="auto"/>
      <w:contextualSpacing/>
    </w:pPr>
    <w:rPr>
      <w:rFonts w:eastAsiaTheme="majorEastAsia" w:cstheme="majorBidi"/>
      <w:b/>
      <w:color w:val="17365D" w:themeColor="text2" w:themeShade="BF"/>
      <w:spacing w:val="5"/>
      <w:kern w:val="28"/>
      <w:sz w:val="52"/>
      <w:szCs w:val="52"/>
    </w:rPr>
  </w:style>
  <w:style w:type="character" w:customStyle="1" w:styleId="TitreCar">
    <w:name w:val="Titre Car"/>
    <w:basedOn w:val="Policepardfaut"/>
    <w:link w:val="Titre"/>
    <w:uiPriority w:val="10"/>
    <w:rsid w:val="000200F6"/>
    <w:rPr>
      <w:rFonts w:ascii="Arial" w:eastAsiaTheme="majorEastAsia" w:hAnsi="Arial" w:cstheme="majorBidi"/>
      <w:b/>
      <w:color w:val="17365D" w:themeColor="text2" w:themeShade="BF"/>
      <w:spacing w:val="5"/>
      <w:kern w:val="28"/>
      <w:sz w:val="52"/>
      <w:szCs w:val="52"/>
      <w:lang w:val="fr"/>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Lienhypertexte1">
    <w:name w:val="Lien hypertexte1"/>
    <w:basedOn w:val="Normal"/>
    <w:qFormat/>
    <w:rsid w:val="00D17CA5"/>
    <w:rPr>
      <w:color w:val="0070C0"/>
      <w:u w:val="single"/>
    </w:rPr>
  </w:style>
  <w:style w:type="table" w:styleId="TableauListe3-Accentuation1">
    <w:name w:val="List Table 3 Accent 1"/>
    <w:basedOn w:val="TableauNormal"/>
    <w:uiPriority w:val="48"/>
    <w:rsid w:val="00D3665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eauListe4-Accentuation1">
    <w:name w:val="List Table 4 Accent 1"/>
    <w:basedOn w:val="TableauNormal"/>
    <w:uiPriority w:val="49"/>
    <w:rsid w:val="00D3665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Style1">
    <w:name w:val="Style1"/>
    <w:basedOn w:val="TableauNormal"/>
    <w:uiPriority w:val="99"/>
    <w:rsid w:val="00D811EB"/>
    <w:pPr>
      <w:spacing w:after="0" w:line="240" w:lineRule="auto"/>
    </w:pPr>
    <w:tblPr/>
  </w:style>
  <w:style w:type="table" w:customStyle="1" w:styleId="Tableau1">
    <w:name w:val="Tableau1"/>
    <w:basedOn w:val="TableauNormal"/>
    <w:uiPriority w:val="99"/>
    <w:rsid w:val="00730D5F"/>
    <w:pPr>
      <w:spacing w:after="0" w:line="240" w:lineRule="auto"/>
    </w:pPr>
    <w:rPr>
      <w:rFonts w:ascii="Arial" w:hAnsi="Arial"/>
    </w:rPr>
    <w:tblPr/>
  </w:style>
  <w:style w:type="paragraph" w:customStyle="1" w:styleId="SourceCode">
    <w:name w:val="Source Code"/>
    <w:basedOn w:val="Normal"/>
    <w:pPr>
      <w:shd w:val="clear" w:color="auto" w:fill="F1F3F5"/>
      <w:wordWrap w:val="0"/>
    </w:pPr>
  </w:style>
  <w:style w:type="character" w:customStyle="1" w:styleId="KeywordTok">
    <w:name w:val="KeywordTok"/>
    <w:rPr>
      <w:b/>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b/>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0VJf5EtAy98&amp;ab_channel=IFVSudOuest" TargetMode="External"/><Relationship Id="rId13" Type="http://schemas.openxmlformats.org/officeDocument/2006/relationships/hyperlink" Target="https://www.youtube.com/watch?v=0VJf5EtAy98&amp;ab_channel=IFVSudOuest"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g"/><Relationship Id="rId12" Type="http://schemas.openxmlformats.org/officeDocument/2006/relationships/hyperlink" Target="https://www.vignevin-occitanie.com/fiches-pratiques/mesure-du-potentiel-hydrique-foliaire-de-tige/"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i.org/10.20870/IVES-TR.2020.3620"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gi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20870/IVES-TR.2023.7401"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vignevin-occitanie.com/fiches-pratiques/estimation-de-letat-hydrique-de-la-vigne/"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1236</Words>
  <Characters>6798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8018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Mesure du potentiel hydrique foliaire de tige</dc:title>
  <dc:creator/>
  <cp:keywords/>
  <cp:lastModifiedBy>DELPUECH Xavier</cp:lastModifiedBy>
  <cp:revision>3</cp:revision>
  <dcterms:created xsi:type="dcterms:W3CDTF">2025-07-25T13:26:00Z</dcterms:created>
  <dcterms:modified xsi:type="dcterms:W3CDTF">2025-07-25T13:42:00Z</dcterms:modified>
  <dc:language>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agronomy.csl</vt:lpwstr>
  </property>
  <property fmtid="{D5CDD505-2E9C-101B-9397-08002B2CF9AE}" pid="5" name="date">
    <vt:lpwstr>26 mai 2025</vt:lpwstr>
  </property>
  <property fmtid="{D5CDD505-2E9C-101B-9397-08002B2CF9AE}" pid="6" name="date-format">
    <vt:lpwstr>long</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des matières</vt:lpwstr>
  </property>
</Properties>
</file>