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515D6" w14:textId="77777777" w:rsidR="00554A1C" w:rsidRDefault="00F57F2B">
      <w:pPr>
        <w:pStyle w:val="Titre"/>
      </w:pPr>
      <w:r>
        <w:t>Estimation visuelle de la vigueur - méthode OIV351</w:t>
      </w:r>
    </w:p>
    <w:p w14:paraId="5F9515D7" w14:textId="77777777" w:rsidR="00554A1C" w:rsidRDefault="00F57F2B">
      <w:r>
        <w:t>26 mai 2025</w:t>
      </w:r>
    </w:p>
    <w:p w14:paraId="5F9515D8" w14:textId="77777777" w:rsidR="00554A1C" w:rsidRDefault="00F57F2B">
      <w:pPr>
        <w:pStyle w:val="Titre1"/>
      </w:pPr>
      <w:bookmarkStart w:id="0" w:name="objectif"/>
      <w:r>
        <w:t>Objectif</w:t>
      </w:r>
    </w:p>
    <w:p w14:paraId="5F9515D9" w14:textId="77777777" w:rsidR="00554A1C" w:rsidRDefault="00F57F2B">
      <w:r>
        <w:t>Évaluer la vigueur de la vigne avec une méthode d’évaluation visuelle rapide.</w:t>
      </w:r>
    </w:p>
    <w:p w14:paraId="5F9515DA" w14:textId="77777777" w:rsidR="00554A1C" w:rsidRDefault="00F57F2B">
      <w:pPr>
        <w:pStyle w:val="Titre1"/>
      </w:pPr>
      <w:bookmarkStart w:id="1" w:name="principe-de-la-mesure"/>
      <w:bookmarkEnd w:id="0"/>
      <w:r>
        <w:t>Principe de la mesure</w:t>
      </w:r>
    </w:p>
    <w:p w14:paraId="5F9515DB" w14:textId="77777777" w:rsidR="00554A1C" w:rsidRDefault="00F57F2B">
      <w:r>
        <w:t>La vigueur des rameaux de la vigne est un indicateur de l’équilibre physiologique de la vigne pour l’allocation des ressources entre les grappes et la végétation.</w:t>
      </w:r>
    </w:p>
    <w:p w14:paraId="5F9515DC" w14:textId="77777777" w:rsidR="00554A1C" w:rsidRDefault="00F57F2B">
      <w:pPr>
        <w:pStyle w:val="Corpsdetexte"/>
      </w:pPr>
      <w:r>
        <w:t>L’estimation visuelle de la vigueur des rameaux se base sur une appréciation globale de leur développement et de leur croissance en considérant leur longueur, leur diamètre et leur aspect général.</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554A1C" w14:paraId="5F9515DE" w14:textId="77777777">
        <w:trPr>
          <w:cantSplit/>
        </w:trPr>
        <w:tc>
          <w:tcPr>
            <w:tcW w:w="0" w:type="auto"/>
            <w:shd w:val="clear" w:color="auto" w:fill="DAE6FB"/>
            <w:tcMar>
              <w:top w:w="92" w:type="dxa"/>
              <w:bottom w:w="92" w:type="dxa"/>
            </w:tcMar>
          </w:tcPr>
          <w:p w14:paraId="5F9515DD" w14:textId="77777777" w:rsidR="00554A1C" w:rsidRDefault="00F57F2B">
            <w:pPr>
              <w:pStyle w:val="Corpsdetexte"/>
              <w:spacing w:after="0"/>
              <w:textAlignment w:val="center"/>
            </w:pPr>
            <w:r>
              <w:rPr>
                <w:noProof/>
              </w:rPr>
              <w:drawing>
                <wp:inline distT="0" distB="0" distL="0" distR="0" wp14:anchorId="5F951616" wp14:editId="5F951617">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Program Files\RStudio\resources\app\bin\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554A1C" w14:paraId="5F9515E0" w14:textId="77777777">
        <w:trPr>
          <w:cantSplit/>
        </w:trPr>
        <w:tc>
          <w:tcPr>
            <w:tcW w:w="0" w:type="auto"/>
            <w:tcMar>
              <w:top w:w="108" w:type="dxa"/>
              <w:bottom w:w="108" w:type="dxa"/>
            </w:tcMar>
          </w:tcPr>
          <w:p w14:paraId="5F9515DF" w14:textId="77777777" w:rsidR="00554A1C" w:rsidRDefault="00F57F2B">
            <w:pPr>
              <w:pStyle w:val="Corpsdetexte"/>
              <w:spacing w:before="16" w:after="16"/>
            </w:pPr>
            <w:r>
              <w:t xml:space="preserve">Cette méthode est une alternative plus simple et rapide à mettre en </w:t>
            </w:r>
            <w:proofErr w:type="spellStart"/>
            <w:r>
              <w:t>oeuvre</w:t>
            </w:r>
            <w:proofErr w:type="spellEnd"/>
            <w:r>
              <w:t xml:space="preserve"> que la pesée des bois de taille, qui reste la méthode de référence de l’estimation de la vigueur.</w:t>
            </w:r>
          </w:p>
        </w:tc>
      </w:tr>
    </w:tbl>
    <w:p w14:paraId="5F9515E1" w14:textId="77777777" w:rsidR="00554A1C" w:rsidRDefault="00F57F2B">
      <w:pPr>
        <w:pStyle w:val="Corpsdetexte"/>
      </w:pPr>
      <w:r>
        <w:t xml:space="preserve"> </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554A1C" w14:paraId="5F9515E3" w14:textId="77777777">
        <w:trPr>
          <w:cantSplit/>
        </w:trPr>
        <w:tc>
          <w:tcPr>
            <w:tcW w:w="0" w:type="auto"/>
            <w:shd w:val="clear" w:color="auto" w:fill="FCEFDC"/>
            <w:tcMar>
              <w:top w:w="92" w:type="dxa"/>
              <w:bottom w:w="92" w:type="dxa"/>
            </w:tcMar>
          </w:tcPr>
          <w:p w14:paraId="5F9515E2" w14:textId="77777777" w:rsidR="00554A1C" w:rsidRDefault="00F57F2B">
            <w:pPr>
              <w:pStyle w:val="Corpsdetexte"/>
              <w:spacing w:after="0"/>
              <w:textAlignment w:val="center"/>
            </w:pPr>
            <w:r>
              <w:rPr>
                <w:noProof/>
              </w:rPr>
              <w:drawing>
                <wp:inline distT="0" distB="0" distL="0" distR="0" wp14:anchorId="5F951618" wp14:editId="5F951619">
                  <wp:extent cx="15240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Program Files\RStudio\resources\app\bin\quarto\share\formats\docx\warning.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554A1C" w14:paraId="5F9515E6" w14:textId="77777777">
        <w:trPr>
          <w:cantSplit/>
        </w:trPr>
        <w:tc>
          <w:tcPr>
            <w:tcW w:w="0" w:type="auto"/>
            <w:tcMar>
              <w:top w:w="108" w:type="dxa"/>
              <w:bottom w:w="108" w:type="dxa"/>
            </w:tcMar>
          </w:tcPr>
          <w:p w14:paraId="5F9515E4" w14:textId="77777777" w:rsidR="00554A1C" w:rsidRDefault="00F57F2B">
            <w:pPr>
              <w:pStyle w:val="Corpsdetexte"/>
              <w:spacing w:before="16"/>
            </w:pPr>
            <w:r>
              <w:t>Cette méthode d’estimation visuelle est subjective et dépend de l’observateur. Il est donc important de bien se former et de s’entraîner à utiliser l’échelle de notation de manière standardisée.</w:t>
            </w:r>
          </w:p>
          <w:p w14:paraId="5F9515E5" w14:textId="77777777" w:rsidR="00554A1C" w:rsidRDefault="00F57F2B">
            <w:pPr>
              <w:pStyle w:val="Corpsdetexte"/>
              <w:spacing w:after="16"/>
            </w:pPr>
            <w:r>
              <w:t>Pour comparer les observations, il est préférable que la mesure soit réalisée par le même observateur, ou du moins de contrôler ce facteur en équilibrant les observations.</w:t>
            </w:r>
          </w:p>
        </w:tc>
      </w:tr>
    </w:tbl>
    <w:p w14:paraId="5F9515E7" w14:textId="77777777" w:rsidR="00554A1C" w:rsidRDefault="00F57F2B">
      <w:r>
        <w:br w:type="page"/>
      </w:r>
    </w:p>
    <w:p w14:paraId="5F9515E8" w14:textId="77777777" w:rsidR="00554A1C" w:rsidRDefault="00F57F2B">
      <w:pPr>
        <w:pStyle w:val="Titre1"/>
      </w:pPr>
      <w:bookmarkStart w:id="2" w:name="réalisation-de-la-mesure"/>
      <w:bookmarkEnd w:id="1"/>
      <w:r>
        <w:lastRenderedPageBreak/>
        <w:t>Réalisation de la mesure</w:t>
      </w:r>
    </w:p>
    <w:p w14:paraId="5F9515E9" w14:textId="77777777" w:rsidR="00554A1C" w:rsidRDefault="00F57F2B">
      <w:pPr>
        <w:pStyle w:val="Titre2"/>
      </w:pPr>
      <w:bookmarkStart w:id="3" w:name="échantillonnage"/>
      <w:r>
        <w:t>Échantillonnage</w:t>
      </w:r>
    </w:p>
    <w:p w14:paraId="5F9515EA" w14:textId="77777777" w:rsidR="00554A1C" w:rsidRDefault="00F57F2B">
      <w:pPr>
        <w:pStyle w:val="Titre3"/>
      </w:pPr>
      <w:bookmarkStart w:id="4" w:name="nombre-dobservations"/>
      <w:r>
        <w:t>Nombre d’observations</w:t>
      </w:r>
    </w:p>
    <w:p w14:paraId="5F9515EB" w14:textId="77777777" w:rsidR="00554A1C" w:rsidRDefault="00F57F2B">
      <w:r>
        <w:t>Un minimum de 30 ceps doit être observé par parcelle ou par modalité.</w:t>
      </w:r>
    </w:p>
    <w:p w14:paraId="5F9515EC" w14:textId="77777777" w:rsidR="00554A1C" w:rsidRDefault="00F57F2B">
      <w:pPr>
        <w:pStyle w:val="Titre3"/>
      </w:pPr>
      <w:bookmarkStart w:id="5" w:name="choix-des-ceps-à-observer"/>
      <w:bookmarkEnd w:id="4"/>
      <w:r>
        <w:t>Choix des ceps à observer</w:t>
      </w:r>
    </w:p>
    <w:p w14:paraId="5F9515ED" w14:textId="77777777" w:rsidR="00554A1C" w:rsidRDefault="00F57F2B">
      <w:pPr>
        <w:numPr>
          <w:ilvl w:val="0"/>
          <w:numId w:val="11"/>
        </w:numPr>
      </w:pPr>
      <w:r>
        <w:t>Prendre des ceps représentatifs de la parcelle (ou les ceps qui sont observés par ailleurs)</w:t>
      </w:r>
    </w:p>
    <w:p w14:paraId="5F9515EE" w14:textId="77777777" w:rsidR="00554A1C" w:rsidRDefault="00F57F2B">
      <w:pPr>
        <w:numPr>
          <w:ilvl w:val="0"/>
          <w:numId w:val="11"/>
        </w:numPr>
      </w:pPr>
      <w:r>
        <w:t>Exclure de la mesure les ceps malades et les ceps voisins des manquants.</w:t>
      </w:r>
    </w:p>
    <w:p w14:paraId="5F9515EF" w14:textId="77777777" w:rsidR="00554A1C" w:rsidRDefault="00F57F2B">
      <w:pPr>
        <w:numPr>
          <w:ilvl w:val="0"/>
          <w:numId w:val="11"/>
        </w:numPr>
      </w:pPr>
      <w:r>
        <w:t>Laisser quelques ceps en bordure de rangs.</w:t>
      </w:r>
    </w:p>
    <w:p w14:paraId="5F9515F0" w14:textId="77777777" w:rsidR="00554A1C" w:rsidRDefault="00F57F2B">
      <w:pPr>
        <w:numPr>
          <w:ilvl w:val="0"/>
          <w:numId w:val="11"/>
        </w:numPr>
      </w:pPr>
      <w:r>
        <w:t>Observer plusieurs rameaux par cep pour obtenir une estimation moyenne par cep.</w:t>
      </w:r>
    </w:p>
    <w:p w14:paraId="5F9515F1" w14:textId="77777777" w:rsidR="00554A1C" w:rsidRDefault="00F57F2B">
      <w:pPr>
        <w:pStyle w:val="Titre2"/>
      </w:pPr>
      <w:bookmarkStart w:id="6" w:name="mesure"/>
      <w:bookmarkEnd w:id="5"/>
      <w:bookmarkEnd w:id="3"/>
      <w:r>
        <w:t>Mesure</w:t>
      </w:r>
    </w:p>
    <w:p w14:paraId="5F9515F2" w14:textId="77777777" w:rsidR="00554A1C" w:rsidRDefault="00F57F2B">
      <w:pPr>
        <w:pStyle w:val="Titre3"/>
      </w:pPr>
      <w:bookmarkStart w:id="7" w:name="echelle"/>
      <w:r>
        <w:t>Echelle</w:t>
      </w:r>
    </w:p>
    <w:p w14:paraId="5F9515F3" w14:textId="77777777" w:rsidR="00554A1C" w:rsidRDefault="00F57F2B">
      <w:r>
        <w:t>L’observateur attribue une note à chaque cep selon le diamètre et la longueur de ses rameaux, selon l’échelle suivante [1].</w:t>
      </w:r>
    </w:p>
    <w:p w14:paraId="5F9515F4" w14:textId="77777777" w:rsidR="00554A1C" w:rsidRDefault="00F57F2B">
      <w:r>
        <w:t>Echelle de notation de la vigueur des rameaux</w:t>
      </w:r>
    </w:p>
    <w:tbl>
      <w:tblPr>
        <w:tblStyle w:val="TableauListe3-Accentuation1"/>
        <w:tblW w:w="0" w:type="auto"/>
        <w:tblLook w:val="0020" w:firstRow="1" w:lastRow="0" w:firstColumn="0" w:lastColumn="0" w:noHBand="0" w:noVBand="0"/>
        <w:tblCaption w:val="Echelle de notation de la vigueur des rameaux"/>
      </w:tblPr>
      <w:tblGrid>
        <w:gridCol w:w="1144"/>
        <w:gridCol w:w="715"/>
        <w:gridCol w:w="1058"/>
        <w:gridCol w:w="660"/>
        <w:gridCol w:w="1055"/>
      </w:tblGrid>
      <w:tr w:rsidR="00554A1C" w14:paraId="5F9515FA" w14:textId="77777777" w:rsidTr="00362FA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9515F5" w14:textId="77777777" w:rsidR="00554A1C" w:rsidRDefault="00F57F2B">
            <w:pPr>
              <w:jc w:val="center"/>
            </w:pPr>
            <w:r>
              <w:t>1</w:t>
            </w:r>
          </w:p>
        </w:tc>
        <w:tc>
          <w:tcPr>
            <w:tcW w:w="0" w:type="auto"/>
          </w:tcPr>
          <w:p w14:paraId="5F9515F6" w14:textId="77777777" w:rsidR="00554A1C" w:rsidRDefault="00F57F2B">
            <w:pPr>
              <w:jc w:val="center"/>
              <w:cnfStyle w:val="100000000000" w:firstRow="1"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0" w:type="auto"/>
          </w:tcPr>
          <w:p w14:paraId="5F9515F7" w14:textId="77777777" w:rsidR="00554A1C" w:rsidRDefault="00F57F2B">
            <w:pPr>
              <w:jc w:val="center"/>
            </w:pPr>
            <w:r>
              <w:t>5</w:t>
            </w:r>
          </w:p>
        </w:tc>
        <w:tc>
          <w:tcPr>
            <w:tcW w:w="0" w:type="auto"/>
          </w:tcPr>
          <w:p w14:paraId="5F9515F8" w14:textId="77777777" w:rsidR="00554A1C" w:rsidRDefault="00F57F2B">
            <w:pPr>
              <w:jc w:val="center"/>
              <w:cnfStyle w:val="100000000000" w:firstRow="1" w:lastRow="0" w:firstColumn="0" w:lastColumn="0" w:oddVBand="0" w:evenVBand="0" w:oddHBand="0"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0" w:type="auto"/>
          </w:tcPr>
          <w:p w14:paraId="5F9515F9" w14:textId="77777777" w:rsidR="00554A1C" w:rsidRDefault="00F57F2B">
            <w:pPr>
              <w:jc w:val="center"/>
            </w:pPr>
            <w:r>
              <w:t>9</w:t>
            </w:r>
          </w:p>
        </w:tc>
      </w:tr>
      <w:tr w:rsidR="00554A1C" w14:paraId="5F951600" w14:textId="77777777" w:rsidTr="00362F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9515FB" w14:textId="77777777" w:rsidR="00554A1C" w:rsidRDefault="00F57F2B">
            <w:pPr>
              <w:jc w:val="center"/>
            </w:pPr>
            <w:r>
              <w:t>Très faible</w:t>
            </w:r>
          </w:p>
        </w:tc>
        <w:tc>
          <w:tcPr>
            <w:tcW w:w="0" w:type="auto"/>
          </w:tcPr>
          <w:p w14:paraId="5F9515FC" w14:textId="77777777" w:rsidR="00554A1C" w:rsidRDefault="00F57F2B">
            <w:pPr>
              <w:jc w:val="center"/>
              <w:cnfStyle w:val="000000100000" w:firstRow="0" w:lastRow="0" w:firstColumn="0" w:lastColumn="0" w:oddVBand="0" w:evenVBand="0" w:oddHBand="1" w:evenHBand="0" w:firstRowFirstColumn="0" w:firstRowLastColumn="0" w:lastRowFirstColumn="0" w:lastRowLastColumn="0"/>
            </w:pPr>
            <w:proofErr w:type="gramStart"/>
            <w:r>
              <w:t>faible</w:t>
            </w:r>
            <w:proofErr w:type="gramEnd"/>
          </w:p>
        </w:tc>
        <w:tc>
          <w:tcPr>
            <w:cnfStyle w:val="000010000000" w:firstRow="0" w:lastRow="0" w:firstColumn="0" w:lastColumn="0" w:oddVBand="1" w:evenVBand="0" w:oddHBand="0" w:evenHBand="0" w:firstRowFirstColumn="0" w:firstRowLastColumn="0" w:lastRowFirstColumn="0" w:lastRowLastColumn="0"/>
            <w:tcW w:w="0" w:type="auto"/>
          </w:tcPr>
          <w:p w14:paraId="5F9515FD" w14:textId="77777777" w:rsidR="00554A1C" w:rsidRDefault="00F57F2B">
            <w:pPr>
              <w:jc w:val="center"/>
            </w:pPr>
            <w:proofErr w:type="gramStart"/>
            <w:r>
              <w:t>moyenne</w:t>
            </w:r>
            <w:proofErr w:type="gramEnd"/>
          </w:p>
        </w:tc>
        <w:tc>
          <w:tcPr>
            <w:tcW w:w="0" w:type="auto"/>
          </w:tcPr>
          <w:p w14:paraId="5F9515FE" w14:textId="77777777" w:rsidR="00554A1C" w:rsidRDefault="00F57F2B">
            <w:pPr>
              <w:jc w:val="center"/>
              <w:cnfStyle w:val="000000100000" w:firstRow="0" w:lastRow="0" w:firstColumn="0" w:lastColumn="0" w:oddVBand="0" w:evenVBand="0" w:oddHBand="1" w:evenHBand="0" w:firstRowFirstColumn="0" w:firstRowLastColumn="0" w:lastRowFirstColumn="0" w:lastRowLastColumn="0"/>
            </w:pPr>
            <w:proofErr w:type="gramStart"/>
            <w:r>
              <w:t>forte</w:t>
            </w:r>
            <w:proofErr w:type="gramEnd"/>
          </w:p>
        </w:tc>
        <w:tc>
          <w:tcPr>
            <w:cnfStyle w:val="000010000000" w:firstRow="0" w:lastRow="0" w:firstColumn="0" w:lastColumn="0" w:oddVBand="1" w:evenVBand="0" w:oddHBand="0" w:evenHBand="0" w:firstRowFirstColumn="0" w:firstRowLastColumn="0" w:lastRowFirstColumn="0" w:lastRowLastColumn="0"/>
            <w:tcW w:w="0" w:type="auto"/>
          </w:tcPr>
          <w:p w14:paraId="5F9515FF" w14:textId="77777777" w:rsidR="00554A1C" w:rsidRDefault="00F57F2B">
            <w:pPr>
              <w:jc w:val="center"/>
            </w:pPr>
            <w:proofErr w:type="gramStart"/>
            <w:r>
              <w:t>très</w:t>
            </w:r>
            <w:proofErr w:type="gramEnd"/>
            <w:r>
              <w:t xml:space="preserve"> forte</w:t>
            </w:r>
          </w:p>
        </w:tc>
      </w:tr>
    </w:tbl>
    <w:p w14:paraId="5F951601" w14:textId="77777777" w:rsidR="00554A1C" w:rsidRDefault="00F57F2B">
      <w:pPr>
        <w:pStyle w:val="Titre3"/>
      </w:pPr>
      <w:bookmarkStart w:id="8" w:name="outils"/>
      <w:bookmarkEnd w:id="7"/>
      <w:r>
        <w:t>Outils</w:t>
      </w:r>
    </w:p>
    <w:p w14:paraId="5F951602" w14:textId="77777777" w:rsidR="00554A1C" w:rsidRDefault="00F57F2B">
      <w:r>
        <w:t>L’observation est visuelle, prévoir une fiche de notation.</w:t>
      </w:r>
    </w:p>
    <w:p w14:paraId="5F951603" w14:textId="77777777" w:rsidR="00554A1C" w:rsidRDefault="00F57F2B">
      <w:pPr>
        <w:pStyle w:val="Titre3"/>
      </w:pPr>
      <w:bookmarkStart w:id="9" w:name="période-de-mesure"/>
      <w:bookmarkEnd w:id="8"/>
      <w:r>
        <w:t>Période de mesure</w:t>
      </w:r>
    </w:p>
    <w:p w14:paraId="5F951604" w14:textId="77777777" w:rsidR="00554A1C" w:rsidRDefault="00F57F2B">
      <w:r>
        <w:t>La notation est réalisée après la chute des feuilles, avant la taille.</w:t>
      </w:r>
    </w:p>
    <w:p w14:paraId="5F951605" w14:textId="77777777" w:rsidR="00554A1C" w:rsidRDefault="00F57F2B">
      <w:pPr>
        <w:pStyle w:val="Titre3"/>
      </w:pPr>
      <w:bookmarkStart w:id="10" w:name="aspects-pratiques"/>
      <w:bookmarkEnd w:id="9"/>
      <w:r>
        <w:t>Aspects pratiques</w:t>
      </w:r>
    </w:p>
    <w:p w14:paraId="5F951606" w14:textId="77777777" w:rsidR="00554A1C" w:rsidRDefault="00F57F2B">
      <w:r>
        <w:t>10 minutes sont nécessaires à une personne habituée pour évaluer 30 ceps.</w:t>
      </w:r>
    </w:p>
    <w:p w14:paraId="5F951607" w14:textId="77777777" w:rsidR="00554A1C" w:rsidRDefault="00F57F2B">
      <w:r>
        <w:br w:type="page"/>
      </w:r>
    </w:p>
    <w:p w14:paraId="5F951608" w14:textId="77777777" w:rsidR="00554A1C" w:rsidRDefault="00F57F2B">
      <w:pPr>
        <w:pStyle w:val="Titre1"/>
      </w:pPr>
      <w:bookmarkStart w:id="11" w:name="traitement-des-résultats"/>
      <w:bookmarkEnd w:id="10"/>
      <w:bookmarkEnd w:id="6"/>
      <w:bookmarkEnd w:id="2"/>
      <w:r>
        <w:lastRenderedPageBreak/>
        <w:t>Traitement des résultats</w:t>
      </w:r>
    </w:p>
    <w:p w14:paraId="5F951609" w14:textId="77777777" w:rsidR="00554A1C" w:rsidRDefault="00F57F2B">
      <w:pPr>
        <w:pStyle w:val="Titre2"/>
      </w:pPr>
      <w:bookmarkStart w:id="12" w:name="définition-des-variables"/>
      <w:r>
        <w:t>Définition des variables</w:t>
      </w:r>
    </w:p>
    <w:p w14:paraId="5F95160A" w14:textId="77777777" w:rsidR="00554A1C" w:rsidRDefault="00F57F2B">
      <w:r>
        <w:t xml:space="preserve">Les données sont stockées telles quelles, en précisant la date de la mesure et l’observateur. La variable est référencée dans la Vitis </w:t>
      </w:r>
      <w:proofErr w:type="spellStart"/>
      <w:r>
        <w:t>Ontology</w:t>
      </w:r>
      <w:proofErr w:type="spellEnd"/>
      <w:r>
        <w:t xml:space="preserve"> sous le nom </w:t>
      </w:r>
      <w:hyperlink r:id="rId9">
        <w:r w:rsidRPr="00F57F2B">
          <w:rPr>
            <w:color w:val="0000FF"/>
            <w:u w:val="single"/>
          </w:rPr>
          <w:t>SHOOT_G_OIV</w:t>
        </w:r>
      </w:hyperlink>
    </w:p>
    <w:p w14:paraId="5F95160B" w14:textId="77777777" w:rsidR="00554A1C" w:rsidRDefault="00F57F2B">
      <w:pPr>
        <w:pStyle w:val="Titre2"/>
      </w:pPr>
      <w:bookmarkStart w:id="13" w:name="interprétation-des-résultats"/>
      <w:bookmarkEnd w:id="12"/>
      <w:r>
        <w:t>Interprétation des résultats</w:t>
      </w:r>
    </w:p>
    <w:p w14:paraId="5F95160C" w14:textId="77777777" w:rsidR="00554A1C" w:rsidRDefault="00F57F2B">
      <w:r>
        <w:t>La vigueur est directement liée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tbl>
      <w:tblPr>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045"/>
      </w:tblGrid>
      <w:tr w:rsidR="00554A1C" w14:paraId="5F95160E" w14:textId="77777777">
        <w:trPr>
          <w:cantSplit/>
        </w:trPr>
        <w:tc>
          <w:tcPr>
            <w:tcW w:w="0" w:type="auto"/>
            <w:shd w:val="clear" w:color="auto" w:fill="F7DDDC"/>
            <w:tcMar>
              <w:top w:w="92" w:type="dxa"/>
              <w:bottom w:w="92" w:type="dxa"/>
            </w:tcMar>
          </w:tcPr>
          <w:p w14:paraId="5F95160D" w14:textId="77777777" w:rsidR="00554A1C" w:rsidRDefault="00F57F2B">
            <w:pPr>
              <w:pStyle w:val="Corpsdetexte"/>
              <w:spacing w:after="0"/>
              <w:textAlignment w:val="center"/>
            </w:pPr>
            <w:r>
              <w:rPr>
                <w:noProof/>
              </w:rPr>
              <w:drawing>
                <wp:inline distT="0" distB="0" distL="0" distR="0" wp14:anchorId="5F95161A" wp14:editId="5F95161B">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Program Files\RStudio\resources\app\bin\quarto\share\formats\docx\important.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554A1C" w14:paraId="5F951610" w14:textId="77777777">
        <w:trPr>
          <w:cantSplit/>
        </w:trPr>
        <w:tc>
          <w:tcPr>
            <w:tcW w:w="0" w:type="auto"/>
            <w:tcMar>
              <w:top w:w="108" w:type="dxa"/>
              <w:bottom w:w="108" w:type="dxa"/>
            </w:tcMar>
          </w:tcPr>
          <w:p w14:paraId="5F95160F" w14:textId="77777777" w:rsidR="00554A1C" w:rsidRDefault="00F57F2B">
            <w:pPr>
              <w:pStyle w:val="Corpsdetexte"/>
              <w:spacing w:before="16" w:after="16"/>
            </w:pPr>
            <w:r>
              <w:t>La vigueur de la vigne peut être influencée par de nombreux facteurs, tels que le porte-greffe, le cépage, le clone, les conditions environnementales (sol, climat), les pratiques culturales (irrigation, fertilisation), la gestion de l’enherbement, et la présence de maladies. Il est donc important de prendre en compte ces facteurs lors de l’interprétation des résultats.</w:t>
            </w:r>
          </w:p>
        </w:tc>
      </w:tr>
    </w:tbl>
    <w:p w14:paraId="5F951611" w14:textId="77777777" w:rsidR="00554A1C" w:rsidRDefault="00F57F2B">
      <w:pPr>
        <w:pStyle w:val="Titre1"/>
      </w:pPr>
      <w:bookmarkStart w:id="14" w:name="compléments-dinformation"/>
      <w:bookmarkEnd w:id="13"/>
      <w:bookmarkEnd w:id="11"/>
      <w:r>
        <w:t>Compléments d’information</w:t>
      </w:r>
    </w:p>
    <w:p w14:paraId="5F951612" w14:textId="77777777" w:rsidR="00554A1C" w:rsidRDefault="00F57F2B">
      <w:pPr>
        <w:pStyle w:val="Titre2"/>
      </w:pPr>
      <w:bookmarkStart w:id="15" w:name="ressources-complémentaires"/>
      <w:r>
        <w:t>Ressources complémentaires</w:t>
      </w:r>
    </w:p>
    <w:p w14:paraId="5F951613" w14:textId="77777777" w:rsidR="00554A1C" w:rsidRDefault="00F57F2B">
      <w:hyperlink r:id="rId11">
        <w:r w:rsidRPr="00F57F2B">
          <w:rPr>
            <w:color w:val="0000FF"/>
            <w:u w:val="single"/>
          </w:rPr>
          <w:t>Extrait du guide OIV</w:t>
        </w:r>
      </w:hyperlink>
      <w:r>
        <w:t xml:space="preserve"> sur le centre de ressources </w:t>
      </w:r>
      <w:proofErr w:type="spellStart"/>
      <w:r>
        <w:t>viti-oeno</w:t>
      </w:r>
      <w:proofErr w:type="spellEnd"/>
      <w:r>
        <w:t>.</w:t>
      </w:r>
    </w:p>
    <w:p w14:paraId="5F951614" w14:textId="77777777" w:rsidR="00554A1C" w:rsidRDefault="00F57F2B">
      <w:pPr>
        <w:pStyle w:val="Titre2"/>
      </w:pPr>
      <w:bookmarkStart w:id="16" w:name="références"/>
      <w:bookmarkEnd w:id="15"/>
      <w:r>
        <w:t>Références</w:t>
      </w:r>
    </w:p>
    <w:p w14:paraId="5F951615" w14:textId="77777777" w:rsidR="00554A1C" w:rsidRDefault="00F57F2B">
      <w:bookmarkStart w:id="17" w:name="ref-2ndédit2001"/>
      <w:bookmarkStart w:id="18" w:name="refs"/>
      <w:r>
        <w:t xml:space="preserve">1. </w:t>
      </w:r>
      <w:r>
        <w:tab/>
        <w:t xml:space="preserve">OIV 2nd édition de la liste des descripteurs OIV pour les variétés et espèces de Vitis. </w:t>
      </w:r>
      <w:r>
        <w:rPr>
          <w:b/>
          <w:bCs/>
        </w:rPr>
        <w:t>2001</w:t>
      </w:r>
      <w:r>
        <w:t>.</w:t>
      </w:r>
    </w:p>
    <w:bookmarkEnd w:id="17"/>
    <w:bookmarkEnd w:id="18"/>
    <w:bookmarkEnd w:id="16"/>
    <w:bookmarkEnd w:id="14"/>
    <w:sectPr w:rsidR="00554A1C" w:rsidSect="003905BB">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51627" w14:textId="77777777" w:rsidR="00F57F2B" w:rsidRDefault="00F57F2B">
      <w:pPr>
        <w:spacing w:after="0" w:line="240" w:lineRule="auto"/>
      </w:pPr>
      <w:r>
        <w:separator/>
      </w:r>
    </w:p>
  </w:endnote>
  <w:endnote w:type="continuationSeparator" w:id="0">
    <w:p w14:paraId="5F951629" w14:textId="77777777" w:rsidR="00F57F2B" w:rsidRDefault="00F5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5161E"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5161F"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F951620"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51622"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51623" w14:textId="77777777" w:rsidR="00F57F2B" w:rsidRDefault="00F57F2B">
      <w:pPr>
        <w:spacing w:after="0" w:line="240" w:lineRule="auto"/>
      </w:pPr>
      <w:r>
        <w:separator/>
      </w:r>
    </w:p>
  </w:footnote>
  <w:footnote w:type="continuationSeparator" w:id="0">
    <w:p w14:paraId="5F951625" w14:textId="77777777" w:rsidR="00F57F2B" w:rsidRDefault="00F57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5161C"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5161D"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51621"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901AD8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56FEAC6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200560374">
    <w:abstractNumId w:val="9"/>
  </w:num>
  <w:num w:numId="11" w16cid:durableId="1604655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62FA6"/>
    <w:rsid w:val="003905BB"/>
    <w:rsid w:val="003E4CC1"/>
    <w:rsid w:val="003F44FE"/>
    <w:rsid w:val="003F52F5"/>
    <w:rsid w:val="00524418"/>
    <w:rsid w:val="005326A4"/>
    <w:rsid w:val="0054382C"/>
    <w:rsid w:val="00554A1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57F2B"/>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9515D6"/>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tioeno.mistea.inrae.fr/resource/app/document/details/vitioeno%3Aid%2Fdocument%2Fextrait_guide_oiv_-_caractre_vigueur_du_rameau_oiv35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opontology.org/term/CO_356:100024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visuelle de la vigueur - méthode OIV351</dc:title>
  <dc:creator/>
  <cp:keywords/>
  <cp:lastModifiedBy>DELPUECH Xavier</cp:lastModifiedBy>
  <cp:revision>3</cp:revision>
  <dcterms:created xsi:type="dcterms:W3CDTF">2025-07-25T13:26:00Z</dcterms:created>
  <dcterms:modified xsi:type="dcterms:W3CDTF">2025-07-25T13:41:00Z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