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037A6" w14:textId="77777777" w:rsidR="00B93428" w:rsidRDefault="00653882">
      <w:pPr>
        <w:pStyle w:val="Titre"/>
      </w:pPr>
      <w:r>
        <w:t>Diamètre des sarments</w:t>
      </w:r>
    </w:p>
    <w:p w14:paraId="69A037A7" w14:textId="77777777" w:rsidR="00B93428" w:rsidRDefault="00653882">
      <w:r>
        <w:t>3 juillet 2025</w:t>
      </w:r>
    </w:p>
    <w:p w14:paraId="69A037A8" w14:textId="77777777" w:rsidR="00B93428" w:rsidRDefault="00653882">
      <w:pPr>
        <w:pStyle w:val="Titre1"/>
      </w:pPr>
      <w:bookmarkStart w:id="0" w:name="objectif"/>
      <w:r>
        <w:t>Objectif</w:t>
      </w:r>
    </w:p>
    <w:p w14:paraId="69A037A9" w14:textId="77777777" w:rsidR="00B93428" w:rsidRDefault="00653882">
      <w:r>
        <w:t>Évaluer la vigueur de la vigne par la mesure du diamètre des sarments après la chute des feuilles.</w:t>
      </w:r>
    </w:p>
    <w:p w14:paraId="69A037AA" w14:textId="77777777" w:rsidR="00B93428" w:rsidRDefault="00653882">
      <w:pPr>
        <w:pStyle w:val="Corpsdetexte"/>
      </w:pPr>
      <w:r>
        <w:t>La vigueur résulte de l’activité métabolique des organes en croissance, et se traduit par une intensité de respiration et de la vitesse de croissance [1].</w:t>
      </w:r>
    </w:p>
    <w:p w14:paraId="69A037AB" w14:textId="77777777" w:rsidR="00B93428" w:rsidRDefault="00653882">
      <w:pPr>
        <w:pStyle w:val="Titre1"/>
      </w:pPr>
      <w:bookmarkStart w:id="1" w:name="principe-de-la-mesure"/>
      <w:bookmarkEnd w:id="0"/>
      <w:r>
        <w:t>Principe de la mesure</w:t>
      </w:r>
    </w:p>
    <w:p w14:paraId="69A037AC" w14:textId="77777777" w:rsidR="00B93428" w:rsidRDefault="00653882">
      <w:r>
        <w:t>La vigueur du rameau de la vigne est un indicateur de l’équilibre physiologique de la vigne pour l’allocation des ressources entre les grappes et la végétation. Une vigne vigoureuse aura tendance à produire plus de grappes et de feuilles, ce qui peut avoir un impact sur le rendement et la qualité des raisins. L’évaluation de la vigueur est complémentaire à la mesure des composantes du rendement (nombre de grappes par cep, poids des grappes, poids par cep).</w:t>
      </w:r>
    </w:p>
    <w:p w14:paraId="69A037AD" w14:textId="77777777" w:rsidR="00B93428" w:rsidRDefault="00653882">
      <w:pPr>
        <w:pStyle w:val="Corpsdetexte"/>
      </w:pPr>
      <w:r>
        <w:t>Le diamètre du sarment est une conséquence de la croissance du rameau pendant la saison végétative. Un diamètre plus important est le signe d’une croissance plus rapide et plus vigoureuse.</w:t>
      </w:r>
    </w:p>
    <w:p w14:paraId="69A037AE" w14:textId="77777777" w:rsidR="00B93428" w:rsidRDefault="00653882">
      <w:pPr>
        <w:pStyle w:val="Corpsdetexte"/>
      </w:pPr>
      <w:r>
        <w:t>La méthode repose sur la mesure du diamètre des sarments après la chute des feuilles.</w:t>
      </w:r>
    </w:p>
    <w:p w14:paraId="69A037AF" w14:textId="77777777" w:rsidR="00B93428" w:rsidRDefault="00653882">
      <w:pPr>
        <w:pStyle w:val="Corpsdetexte"/>
      </w:pPr>
      <w:r>
        <w:t>Le diamètre du sarment et son poids sont généralement bien corrélés [2]. La relation avec le poids de bois de taille par cep (indicateur de l’</w:t>
      </w:r>
      <w:r>
        <w:rPr>
          <w:i/>
          <w:iCs/>
        </w:rPr>
        <w:t>expression végétative</w:t>
      </w:r>
      <w:r>
        <w:t xml:space="preserve">, voir fiche correspondante) est </w:t>
      </w:r>
      <w:proofErr w:type="gramStart"/>
      <w:r>
        <w:t>par contre</w:t>
      </w:r>
      <w:proofErr w:type="gramEnd"/>
      <w:r>
        <w:t xml:space="preserve"> de moins bonne qualité et dépend de la qualité d’échantillonnage [3].</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B93428" w14:paraId="69A037B1" w14:textId="77777777">
        <w:trPr>
          <w:cantSplit/>
        </w:trPr>
        <w:tc>
          <w:tcPr>
            <w:tcW w:w="0" w:type="auto"/>
            <w:shd w:val="clear" w:color="auto" w:fill="DAE6FB"/>
            <w:tcMar>
              <w:top w:w="92" w:type="dxa"/>
              <w:bottom w:w="92" w:type="dxa"/>
            </w:tcMar>
          </w:tcPr>
          <w:p w14:paraId="69A037B0" w14:textId="77777777" w:rsidR="00B93428" w:rsidRDefault="00653882">
            <w:pPr>
              <w:pStyle w:val="Corpsdetexte"/>
              <w:spacing w:after="0"/>
              <w:textAlignment w:val="center"/>
            </w:pPr>
            <w:r>
              <w:rPr>
                <w:noProof/>
              </w:rPr>
              <w:drawing>
                <wp:inline distT="0" distB="0" distL="0" distR="0" wp14:anchorId="69A03807" wp14:editId="69A03808">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Program Files\RStudio\resources\app\bin\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B93428" w14:paraId="69A037B3" w14:textId="77777777">
        <w:trPr>
          <w:cantSplit/>
        </w:trPr>
        <w:tc>
          <w:tcPr>
            <w:tcW w:w="0" w:type="auto"/>
            <w:tcMar>
              <w:top w:w="108" w:type="dxa"/>
              <w:bottom w:w="108" w:type="dxa"/>
            </w:tcMar>
          </w:tcPr>
          <w:p w14:paraId="69A037B2" w14:textId="77777777" w:rsidR="00B93428" w:rsidRDefault="00653882">
            <w:pPr>
              <w:pStyle w:val="Corpsdetexte"/>
              <w:spacing w:before="16" w:after="16"/>
            </w:pPr>
            <w:r>
              <w:t>La mesure du diamètre des sarments est non destructive et rapide ce qui en fait un indicateur pratique pour l’estimation de la vigueur. Néanmoins, la pesée des sarments reste la méthode de référence de mesure de la vigueur.</w:t>
            </w:r>
          </w:p>
        </w:tc>
      </w:tr>
    </w:tbl>
    <w:p w14:paraId="69A037B4" w14:textId="77777777" w:rsidR="00B93428" w:rsidRDefault="00653882">
      <w:r>
        <w:br w:type="page"/>
      </w:r>
    </w:p>
    <w:p w14:paraId="69A037B5" w14:textId="77777777" w:rsidR="00B93428" w:rsidRDefault="00653882">
      <w:pPr>
        <w:pStyle w:val="Titre1"/>
      </w:pPr>
      <w:bookmarkStart w:id="2" w:name="réalisation-de-la-mesure"/>
      <w:bookmarkEnd w:id="1"/>
      <w:r>
        <w:lastRenderedPageBreak/>
        <w:t>Réalisation de la mesure</w:t>
      </w:r>
    </w:p>
    <w:p w14:paraId="69A037B6" w14:textId="77777777" w:rsidR="00B93428" w:rsidRDefault="00653882">
      <w:pPr>
        <w:pStyle w:val="Titre2"/>
      </w:pPr>
      <w:bookmarkStart w:id="3" w:name="échantillonnage"/>
      <w:r>
        <w:t>Échantillonnage</w:t>
      </w:r>
    </w:p>
    <w:p w14:paraId="69A037B7" w14:textId="77777777" w:rsidR="00B93428" w:rsidRDefault="00653882">
      <w:pPr>
        <w:pStyle w:val="Titre3"/>
      </w:pPr>
      <w:bookmarkStart w:id="4" w:name="nombre-dobservations"/>
      <w:r>
        <w:t>Nombre d’observations</w:t>
      </w:r>
    </w:p>
    <w:p w14:paraId="69A037B8" w14:textId="77777777" w:rsidR="00B93428" w:rsidRDefault="00653882">
      <w:r>
        <w:t>Un minimum de 30 mesures doit être réalisé par parcelle ou par placette, 50 mesures étant recommandées.</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B93428" w14:paraId="69A037BA" w14:textId="77777777">
        <w:trPr>
          <w:cantSplit/>
        </w:trPr>
        <w:tc>
          <w:tcPr>
            <w:tcW w:w="0" w:type="auto"/>
            <w:shd w:val="clear" w:color="auto" w:fill="FCEFDC"/>
            <w:tcMar>
              <w:top w:w="92" w:type="dxa"/>
              <w:bottom w:w="92" w:type="dxa"/>
            </w:tcMar>
          </w:tcPr>
          <w:p w14:paraId="69A037B9" w14:textId="77777777" w:rsidR="00B93428" w:rsidRDefault="00653882">
            <w:pPr>
              <w:pStyle w:val="Corpsdetexte"/>
              <w:spacing w:after="0"/>
              <w:textAlignment w:val="center"/>
            </w:pPr>
            <w:r>
              <w:rPr>
                <w:noProof/>
              </w:rPr>
              <w:drawing>
                <wp:inline distT="0" distB="0" distL="0" distR="0" wp14:anchorId="69A03809" wp14:editId="69A038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Program Files\RStudio\resources\app\bin\quarto\share\formats\docx\warning.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B93428" w14:paraId="69A037BC" w14:textId="77777777">
        <w:trPr>
          <w:cantSplit/>
        </w:trPr>
        <w:tc>
          <w:tcPr>
            <w:tcW w:w="0" w:type="auto"/>
            <w:tcMar>
              <w:top w:w="108" w:type="dxa"/>
              <w:bottom w:w="108" w:type="dxa"/>
            </w:tcMar>
          </w:tcPr>
          <w:p w14:paraId="69A037BB" w14:textId="77777777" w:rsidR="00B93428" w:rsidRDefault="00653882">
            <w:pPr>
              <w:pStyle w:val="Corpsdetexte"/>
              <w:spacing w:before="16" w:after="16"/>
            </w:pPr>
            <w:r>
              <w:t>Attention à l’échantillonnage, qui doit être soigné pour obtenir une estimation représentative de la vigueur des ceps observés.</w:t>
            </w:r>
          </w:p>
        </w:tc>
      </w:tr>
    </w:tbl>
    <w:p w14:paraId="69A037BD" w14:textId="77777777" w:rsidR="00B93428" w:rsidRDefault="00653882">
      <w:pPr>
        <w:pStyle w:val="Titre3"/>
      </w:pPr>
      <w:bookmarkStart w:id="5" w:name="choix-des-ceps-à-observer"/>
      <w:bookmarkEnd w:id="4"/>
      <w:r>
        <w:t>Choix des ceps à observer</w:t>
      </w:r>
    </w:p>
    <w:p w14:paraId="69A037BE" w14:textId="77777777" w:rsidR="00B93428" w:rsidRDefault="00653882">
      <w:pPr>
        <w:numPr>
          <w:ilvl w:val="0"/>
          <w:numId w:val="11"/>
        </w:numPr>
      </w:pPr>
      <w:r>
        <w:t>Prendre des ceps représentatifs de la parcelle</w:t>
      </w:r>
    </w:p>
    <w:p w14:paraId="69A037BF" w14:textId="77777777" w:rsidR="00B93428" w:rsidRDefault="00653882">
      <w:pPr>
        <w:numPr>
          <w:ilvl w:val="0"/>
          <w:numId w:val="11"/>
        </w:numPr>
      </w:pPr>
      <w:r>
        <w:t>Exclure de la mesure les ceps malades ou chétifs et les ceps voisins des manquants</w:t>
      </w:r>
    </w:p>
    <w:p w14:paraId="69A037C0" w14:textId="77777777" w:rsidR="00B93428" w:rsidRDefault="00653882">
      <w:pPr>
        <w:numPr>
          <w:ilvl w:val="0"/>
          <w:numId w:val="11"/>
        </w:numPr>
      </w:pPr>
      <w:r>
        <w:t>Eviter les ceps de bordure de parcelle ou placette</w:t>
      </w:r>
    </w:p>
    <w:p w14:paraId="69A037C1" w14:textId="77777777" w:rsidR="00B93428" w:rsidRDefault="00653882">
      <w:pPr>
        <w:pStyle w:val="Titre3"/>
      </w:pPr>
      <w:bookmarkStart w:id="6" w:name="choix-des-sarments-à-mesurer"/>
      <w:bookmarkEnd w:id="5"/>
      <w:r>
        <w:t>Choix des sarments à mesurer</w:t>
      </w:r>
    </w:p>
    <w:p w14:paraId="69A037C2" w14:textId="77777777" w:rsidR="00B93428" w:rsidRDefault="00653882">
      <w:r>
        <w:t>Mesurer au moins 2 sarments par cep, en s’assurant d’avoir au minimum 30 mesures pour chaque ensemble de ceps à évaluer (parcelle ou placette).</w:t>
      </w:r>
    </w:p>
    <w:p w14:paraId="69A037C3" w14:textId="77777777" w:rsidR="00B93428" w:rsidRDefault="00653882">
      <w:pPr>
        <w:pStyle w:val="Corpsdetexte"/>
      </w:pPr>
      <w:r>
        <w:t>Le choix des sarments doit permettre de prendre en compte la variabilité de vigueur des sarments du cep selon le mode de taille. Les sarments cassés vers la base et les petits sarments (longueur inférieure à 20 cm) ne sont pas pris en compte.</w:t>
      </w:r>
    </w:p>
    <w:p w14:paraId="69A037C4" w14:textId="77777777" w:rsidR="00B93428" w:rsidRDefault="00653882">
      <w:pPr>
        <w:numPr>
          <w:ilvl w:val="0"/>
          <w:numId w:val="12"/>
        </w:numPr>
      </w:pPr>
      <w:r>
        <w:t>En taille courte (cordon simple ou double, gobelet), sélectionner des sarments sur la partie médiane du cordon.</w:t>
      </w:r>
    </w:p>
    <w:p w14:paraId="69A037C5" w14:textId="77777777" w:rsidR="00B93428" w:rsidRDefault="00653882">
      <w:pPr>
        <w:numPr>
          <w:ilvl w:val="0"/>
          <w:numId w:val="12"/>
        </w:numPr>
      </w:pPr>
      <w:r>
        <w:t>En taille mixte, (Guyot simple ou double), sélectionner 1 sarment issu d’un courson et 2 sarments en position médiane sur la baguette. En cas d’arcure de la baguette, mesurer sur la partie sommitale de l’arcure.</w:t>
      </w:r>
    </w:p>
    <w:p w14:paraId="69A037C6" w14:textId="77777777" w:rsidR="00B93428" w:rsidRDefault="00653882">
      <w:pPr>
        <w:pStyle w:val="Titre2"/>
      </w:pPr>
      <w:bookmarkStart w:id="7" w:name="mesure"/>
      <w:bookmarkEnd w:id="6"/>
      <w:bookmarkEnd w:id="3"/>
      <w:r>
        <w:t>Mesure</w:t>
      </w:r>
    </w:p>
    <w:p w14:paraId="69A037C7" w14:textId="77777777" w:rsidR="00B93428" w:rsidRDefault="00653882">
      <w:r>
        <w:t>Mesurer le diamètre du sarment à l’aide d’un pied à coulisse, sur un des mérithalles 2 à 4. La mesure se fait environ au milieu du mérithalle.</w:t>
      </w:r>
    </w:p>
    <w:p w14:paraId="69A037C8" w14:textId="77777777" w:rsidR="00B93428" w:rsidRDefault="00653882">
      <w:pPr>
        <w:pStyle w:val="Corpsdetexte"/>
      </w:pPr>
      <w:r>
        <w:t>Attention à positionner le pied à coulisse perpendiculairement au sarment (éviter les mesures en oblique qui surestimeraient le diamètre).</w:t>
      </w:r>
    </w:p>
    <w:p w14:paraId="69A037C9" w14:textId="77777777" w:rsidR="00B93428" w:rsidRDefault="00653882">
      <w:r>
        <w:rPr>
          <w:noProof/>
        </w:rPr>
        <w:lastRenderedPageBreak/>
        <w:drawing>
          <wp:inline distT="0" distB="0" distL="0" distR="0" wp14:anchorId="69A0380B" wp14:editId="69A0380C">
            <wp:extent cx="2667000" cy="3376290"/>
            <wp:effectExtent l="0" t="0" r="0" b="0"/>
            <wp:docPr id="33" name="Picture" descr="Localisation de la section à mesurer sur le sarment"/>
            <wp:cNvGraphicFramePr/>
            <a:graphic xmlns:a="http://schemas.openxmlformats.org/drawingml/2006/main">
              <a:graphicData uri="http://schemas.openxmlformats.org/drawingml/2006/picture">
                <pic:pic xmlns:pic="http://schemas.openxmlformats.org/drawingml/2006/picture">
                  <pic:nvPicPr>
                    <pic:cNvPr id="34" name="Picture" descr="images/diam_sarment_zone.jpg"/>
                    <pic:cNvPicPr>
                      <a:picLocks noChangeAspect="1" noChangeArrowheads="1"/>
                    </pic:cNvPicPr>
                  </pic:nvPicPr>
                  <pic:blipFill>
                    <a:blip r:embed="rId9"/>
                    <a:stretch>
                      <a:fillRect/>
                    </a:stretch>
                  </pic:blipFill>
                  <pic:spPr bwMode="auto">
                    <a:xfrm>
                      <a:off x="0" y="0"/>
                      <a:ext cx="2667000" cy="3376290"/>
                    </a:xfrm>
                    <a:prstGeom prst="rect">
                      <a:avLst/>
                    </a:prstGeom>
                    <a:noFill/>
                    <a:ln w="9525">
                      <a:noFill/>
                      <a:headEnd/>
                      <a:tailEnd/>
                    </a:ln>
                  </pic:spPr>
                </pic:pic>
              </a:graphicData>
            </a:graphic>
          </wp:inline>
        </w:drawing>
      </w:r>
    </w:p>
    <w:p w14:paraId="69A037CA" w14:textId="77777777" w:rsidR="00B93428" w:rsidRDefault="00653882">
      <w:r>
        <w:t>Localisation de la section à mesurer sur le sarment</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B93428" w14:paraId="69A037CC" w14:textId="77777777">
        <w:trPr>
          <w:cantSplit/>
        </w:trPr>
        <w:tc>
          <w:tcPr>
            <w:tcW w:w="0" w:type="auto"/>
            <w:shd w:val="clear" w:color="auto" w:fill="DAE6FB"/>
            <w:tcMar>
              <w:top w:w="92" w:type="dxa"/>
              <w:bottom w:w="92" w:type="dxa"/>
            </w:tcMar>
          </w:tcPr>
          <w:p w14:paraId="69A037CB" w14:textId="77777777" w:rsidR="00B93428" w:rsidRDefault="00653882">
            <w:pPr>
              <w:pStyle w:val="Corpsdetexte"/>
              <w:spacing w:after="0"/>
              <w:textAlignment w:val="center"/>
            </w:pPr>
            <w:r>
              <w:rPr>
                <w:noProof/>
              </w:rPr>
              <w:drawing>
                <wp:inline distT="0" distB="0" distL="0" distR="0" wp14:anchorId="69A0380D" wp14:editId="69A0380E">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Program Files\RStudio\resources\app\bin\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B93428" w14:paraId="69A037CE" w14:textId="77777777">
        <w:trPr>
          <w:cantSplit/>
        </w:trPr>
        <w:tc>
          <w:tcPr>
            <w:tcW w:w="0" w:type="auto"/>
            <w:tcMar>
              <w:top w:w="108" w:type="dxa"/>
              <w:bottom w:w="108" w:type="dxa"/>
            </w:tcMar>
          </w:tcPr>
          <w:p w14:paraId="69A037CD" w14:textId="77777777" w:rsidR="00B93428" w:rsidRDefault="00653882">
            <w:pPr>
              <w:pStyle w:val="Corpsdetexte"/>
              <w:spacing w:before="16" w:after="16"/>
            </w:pPr>
            <w:r>
              <w:t>Selon la variété, la section des sarments peut être plus ou moins circulaire. Si elle est elliptique, voire aplatie, par convention la mesure portera sur la plus grande longueur de la section [4].</w:t>
            </w:r>
          </w:p>
        </w:tc>
      </w:tr>
    </w:tbl>
    <w:p w14:paraId="69A037CF" w14:textId="77777777" w:rsidR="00B93428" w:rsidRDefault="00653882">
      <w:pPr>
        <w:pStyle w:val="Titre3"/>
      </w:pPr>
      <w:bookmarkStart w:id="8" w:name="echelle"/>
      <w:r>
        <w:t>Echelle</w:t>
      </w:r>
    </w:p>
    <w:p w14:paraId="69A037D0" w14:textId="77777777" w:rsidR="00B93428" w:rsidRDefault="00653882">
      <w:r>
        <w:t xml:space="preserve">Le diamètre est exprimé en </w:t>
      </w:r>
      <w:proofErr w:type="spellStart"/>
      <w:r>
        <w:t>mm.</w:t>
      </w:r>
      <w:proofErr w:type="spellEnd"/>
    </w:p>
    <w:p w14:paraId="69A037D1" w14:textId="77777777" w:rsidR="00B93428" w:rsidRDefault="00653882">
      <w:pPr>
        <w:pStyle w:val="Titre3"/>
      </w:pPr>
      <w:bookmarkStart w:id="9" w:name="outils"/>
      <w:bookmarkEnd w:id="8"/>
      <w:r>
        <w:t>Outils</w:t>
      </w:r>
    </w:p>
    <w:p w14:paraId="69A037D2" w14:textId="77777777" w:rsidR="00B93428" w:rsidRDefault="00653882">
      <w:r>
        <w:t>Pied à coulisse, de préférence digital.</w:t>
      </w:r>
    </w:p>
    <w:p w14:paraId="69A037D3" w14:textId="77777777" w:rsidR="00B93428" w:rsidRDefault="00653882">
      <w:pPr>
        <w:pStyle w:val="Titre3"/>
      </w:pPr>
      <w:bookmarkStart w:id="10" w:name="période-de-mesure"/>
      <w:bookmarkEnd w:id="9"/>
      <w:r>
        <w:t>Période de mesure</w:t>
      </w:r>
    </w:p>
    <w:p w14:paraId="69A037D4" w14:textId="77777777" w:rsidR="00B93428" w:rsidRDefault="00653882">
      <w:r>
        <w:t>La notation est réalisée après la chute des feuilles, avant la taille.</w:t>
      </w:r>
    </w:p>
    <w:p w14:paraId="69A037D5" w14:textId="77777777" w:rsidR="00B93428" w:rsidRDefault="00653882">
      <w:pPr>
        <w:pStyle w:val="Titre3"/>
      </w:pPr>
      <w:bookmarkStart w:id="11" w:name="aspects-pratiques"/>
      <w:bookmarkEnd w:id="10"/>
      <w:r>
        <w:t>Aspects pratiques</w:t>
      </w:r>
    </w:p>
    <w:p w14:paraId="69A037D6" w14:textId="77777777" w:rsidR="00B93428" w:rsidRDefault="00653882">
      <w:r>
        <w:t>Une dizaine de minutes sont nécessaires à une personne habituée pour mesurer 30 sarments. Si possible prévoir un notateur pour plus de confort et gagner du temps sur le terrain.</w:t>
      </w:r>
    </w:p>
    <w:tbl>
      <w:tblPr>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10045"/>
      </w:tblGrid>
      <w:tr w:rsidR="00B93428" w14:paraId="69A037D8" w14:textId="77777777">
        <w:trPr>
          <w:cantSplit/>
        </w:trPr>
        <w:tc>
          <w:tcPr>
            <w:tcW w:w="0" w:type="auto"/>
            <w:shd w:val="clear" w:color="auto" w:fill="F7DDDC"/>
            <w:tcMar>
              <w:top w:w="92" w:type="dxa"/>
              <w:bottom w:w="92" w:type="dxa"/>
            </w:tcMar>
          </w:tcPr>
          <w:p w14:paraId="69A037D7" w14:textId="77777777" w:rsidR="00B93428" w:rsidRDefault="00653882">
            <w:pPr>
              <w:pStyle w:val="Corpsdetexte"/>
              <w:spacing w:after="0"/>
              <w:textAlignment w:val="center"/>
            </w:pPr>
            <w:r>
              <w:rPr>
                <w:noProof/>
              </w:rPr>
              <w:drawing>
                <wp:inline distT="0" distB="0" distL="0" distR="0" wp14:anchorId="69A0380F" wp14:editId="69A03810">
                  <wp:extent cx="152400" cy="1524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Program Files\RStudio\resources\app\bin\quarto\share\formats\docx\important.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B93428" w14:paraId="69A037DA" w14:textId="77777777">
        <w:trPr>
          <w:cantSplit/>
        </w:trPr>
        <w:tc>
          <w:tcPr>
            <w:tcW w:w="0" w:type="auto"/>
            <w:tcMar>
              <w:top w:w="108" w:type="dxa"/>
              <w:bottom w:w="108" w:type="dxa"/>
            </w:tcMar>
          </w:tcPr>
          <w:p w14:paraId="69A037D9" w14:textId="77777777" w:rsidR="00B93428" w:rsidRDefault="00653882">
            <w:pPr>
              <w:pStyle w:val="Corpsdetexte"/>
              <w:spacing w:before="16" w:after="16"/>
            </w:pPr>
            <w:r>
              <w:t>Compléter la mesure du diamètre par un comptage du nombre de sarments par cep. Ce comptage est rapide et permettra de compléter l’évaluation de la biomasse produite par la vigne.</w:t>
            </w:r>
          </w:p>
        </w:tc>
      </w:tr>
    </w:tbl>
    <w:p w14:paraId="69A037DB" w14:textId="77777777" w:rsidR="00B93428" w:rsidRDefault="00653882">
      <w:r>
        <w:br w:type="page"/>
      </w:r>
    </w:p>
    <w:p w14:paraId="69A037DC" w14:textId="77777777" w:rsidR="00B93428" w:rsidRDefault="00653882">
      <w:pPr>
        <w:pStyle w:val="Titre1"/>
      </w:pPr>
      <w:bookmarkStart w:id="12" w:name="traitement-des-résultats"/>
      <w:bookmarkEnd w:id="11"/>
      <w:bookmarkEnd w:id="7"/>
      <w:bookmarkEnd w:id="2"/>
      <w:r>
        <w:lastRenderedPageBreak/>
        <w:t>Traitement des résultats</w:t>
      </w:r>
    </w:p>
    <w:p w14:paraId="69A037DD" w14:textId="77777777" w:rsidR="00B93428" w:rsidRDefault="00653882">
      <w:pPr>
        <w:pStyle w:val="Titre2"/>
      </w:pPr>
      <w:bookmarkStart w:id="13" w:name="définition-des-variables"/>
      <w:r>
        <w:t>Définition des variables</w:t>
      </w:r>
    </w:p>
    <w:p w14:paraId="69A037DE" w14:textId="77777777" w:rsidR="00B93428" w:rsidRDefault="00653882">
      <w:r>
        <w:t>Les données sont stockées telles quelles, en précisant la date de la mesure et l’observateur.</w:t>
      </w:r>
    </w:p>
    <w:p w14:paraId="69A037DF" w14:textId="77777777" w:rsidR="00B93428" w:rsidRDefault="00653882">
      <w:pPr>
        <w:pStyle w:val="Corpsdetexte"/>
      </w:pPr>
      <w:r>
        <w:t>Les mesures peuvent être converties en classe, selon [4].</w:t>
      </w:r>
    </w:p>
    <w:tbl>
      <w:tblPr>
        <w:tblStyle w:val="TableauListe3-Accentuation1"/>
        <w:tblW w:w="5000" w:type="pct"/>
        <w:tblLayout w:type="fixed"/>
        <w:tblLook w:val="0020" w:firstRow="1" w:lastRow="0" w:firstColumn="0" w:lastColumn="0" w:noHBand="0" w:noVBand="0"/>
      </w:tblPr>
      <w:tblGrid>
        <w:gridCol w:w="1679"/>
        <w:gridCol w:w="1679"/>
        <w:gridCol w:w="1678"/>
        <w:gridCol w:w="1678"/>
        <w:gridCol w:w="1678"/>
        <w:gridCol w:w="1678"/>
      </w:tblGrid>
      <w:tr w:rsidR="00B93428" w14:paraId="69A037E6" w14:textId="77777777" w:rsidTr="00216C7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20" w:type="dxa"/>
          </w:tcPr>
          <w:p w14:paraId="69A037E0" w14:textId="77777777" w:rsidR="00B93428" w:rsidRDefault="00653882">
            <w:r>
              <w:t>Classe OIV</w:t>
            </w:r>
          </w:p>
        </w:tc>
        <w:tc>
          <w:tcPr>
            <w:tcW w:w="1320" w:type="dxa"/>
          </w:tcPr>
          <w:p w14:paraId="69A037E1" w14:textId="77777777" w:rsidR="00B93428" w:rsidRDefault="00653882">
            <w:pPr>
              <w:cnfStyle w:val="100000000000" w:firstRow="1"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1320" w:type="dxa"/>
          </w:tcPr>
          <w:p w14:paraId="69A037E2" w14:textId="77777777" w:rsidR="00B93428" w:rsidRDefault="00653882">
            <w:r>
              <w:t>3</w:t>
            </w:r>
          </w:p>
        </w:tc>
        <w:tc>
          <w:tcPr>
            <w:tcW w:w="1320" w:type="dxa"/>
          </w:tcPr>
          <w:p w14:paraId="69A037E3" w14:textId="77777777" w:rsidR="00B93428" w:rsidRDefault="00653882">
            <w:pPr>
              <w:cnfStyle w:val="100000000000" w:firstRow="1" w:lastRow="0" w:firstColumn="0" w:lastColumn="0" w:oddVBand="0" w:evenVBand="0" w:oddHBand="0"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1320" w:type="dxa"/>
          </w:tcPr>
          <w:p w14:paraId="69A037E4" w14:textId="77777777" w:rsidR="00B93428" w:rsidRDefault="00653882">
            <w:r>
              <w:t>7</w:t>
            </w:r>
          </w:p>
        </w:tc>
        <w:tc>
          <w:tcPr>
            <w:tcW w:w="1320" w:type="dxa"/>
          </w:tcPr>
          <w:p w14:paraId="69A037E5" w14:textId="77777777" w:rsidR="00B93428" w:rsidRDefault="00653882">
            <w:pPr>
              <w:cnfStyle w:val="100000000000" w:firstRow="1" w:lastRow="0" w:firstColumn="0" w:lastColumn="0" w:oddVBand="0" w:evenVBand="0" w:oddHBand="0" w:evenHBand="0" w:firstRowFirstColumn="0" w:firstRowLastColumn="0" w:lastRowFirstColumn="0" w:lastRowLastColumn="0"/>
            </w:pPr>
            <w:r>
              <w:t>9</w:t>
            </w:r>
          </w:p>
        </w:tc>
      </w:tr>
      <w:tr w:rsidR="00B93428" w14:paraId="69A037ED" w14:textId="77777777" w:rsidTr="00216C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20" w:type="dxa"/>
          </w:tcPr>
          <w:p w14:paraId="69A037E7" w14:textId="77777777" w:rsidR="00B93428" w:rsidRDefault="00653882">
            <w:r>
              <w:rPr>
                <w:b/>
                <w:bCs/>
              </w:rPr>
              <w:t>Classe</w:t>
            </w:r>
          </w:p>
        </w:tc>
        <w:tc>
          <w:tcPr>
            <w:tcW w:w="1320" w:type="dxa"/>
          </w:tcPr>
          <w:p w14:paraId="69A037E8" w14:textId="77777777" w:rsidR="00B93428" w:rsidRDefault="00653882">
            <w:pPr>
              <w:cnfStyle w:val="000000100000" w:firstRow="0" w:lastRow="0" w:firstColumn="0" w:lastColumn="0" w:oddVBand="0" w:evenVBand="0" w:oddHBand="1" w:evenHBand="0" w:firstRowFirstColumn="0" w:firstRowLastColumn="0" w:lastRowFirstColumn="0" w:lastRowLastColumn="0"/>
            </w:pPr>
            <w:proofErr w:type="gramStart"/>
            <w:r>
              <w:t>très</w:t>
            </w:r>
            <w:proofErr w:type="gramEnd"/>
            <w:r>
              <w:t xml:space="preserve"> petit</w:t>
            </w:r>
          </w:p>
        </w:tc>
        <w:tc>
          <w:tcPr>
            <w:cnfStyle w:val="000010000000" w:firstRow="0" w:lastRow="0" w:firstColumn="0" w:lastColumn="0" w:oddVBand="1" w:evenVBand="0" w:oddHBand="0" w:evenHBand="0" w:firstRowFirstColumn="0" w:firstRowLastColumn="0" w:lastRowFirstColumn="0" w:lastRowLastColumn="0"/>
            <w:tcW w:w="1320" w:type="dxa"/>
          </w:tcPr>
          <w:p w14:paraId="69A037E9" w14:textId="77777777" w:rsidR="00B93428" w:rsidRDefault="00653882">
            <w:proofErr w:type="gramStart"/>
            <w:r>
              <w:t>petit</w:t>
            </w:r>
            <w:proofErr w:type="gramEnd"/>
          </w:p>
        </w:tc>
        <w:tc>
          <w:tcPr>
            <w:tcW w:w="1320" w:type="dxa"/>
          </w:tcPr>
          <w:p w14:paraId="69A037EA" w14:textId="77777777" w:rsidR="00B93428" w:rsidRDefault="00653882">
            <w:pPr>
              <w:cnfStyle w:val="000000100000" w:firstRow="0" w:lastRow="0" w:firstColumn="0" w:lastColumn="0" w:oddVBand="0" w:evenVBand="0" w:oddHBand="1" w:evenHBand="0" w:firstRowFirstColumn="0" w:firstRowLastColumn="0" w:lastRowFirstColumn="0" w:lastRowLastColumn="0"/>
            </w:pPr>
            <w:proofErr w:type="gramStart"/>
            <w:r>
              <w:t>moyen</w:t>
            </w:r>
            <w:proofErr w:type="gramEnd"/>
          </w:p>
        </w:tc>
        <w:tc>
          <w:tcPr>
            <w:cnfStyle w:val="000010000000" w:firstRow="0" w:lastRow="0" w:firstColumn="0" w:lastColumn="0" w:oddVBand="1" w:evenVBand="0" w:oddHBand="0" w:evenHBand="0" w:firstRowFirstColumn="0" w:firstRowLastColumn="0" w:lastRowFirstColumn="0" w:lastRowLastColumn="0"/>
            <w:tcW w:w="1320" w:type="dxa"/>
          </w:tcPr>
          <w:p w14:paraId="69A037EB" w14:textId="77777777" w:rsidR="00B93428" w:rsidRDefault="00653882">
            <w:proofErr w:type="gramStart"/>
            <w:r>
              <w:t>grand</w:t>
            </w:r>
            <w:proofErr w:type="gramEnd"/>
          </w:p>
        </w:tc>
        <w:tc>
          <w:tcPr>
            <w:tcW w:w="1320" w:type="dxa"/>
          </w:tcPr>
          <w:p w14:paraId="69A037EC" w14:textId="77777777" w:rsidR="00B93428" w:rsidRDefault="00653882">
            <w:pPr>
              <w:cnfStyle w:val="000000100000" w:firstRow="0" w:lastRow="0" w:firstColumn="0" w:lastColumn="0" w:oddVBand="0" w:evenVBand="0" w:oddHBand="1" w:evenHBand="0" w:firstRowFirstColumn="0" w:firstRowLastColumn="0" w:lastRowFirstColumn="0" w:lastRowLastColumn="0"/>
            </w:pPr>
            <w:proofErr w:type="gramStart"/>
            <w:r>
              <w:t>très</w:t>
            </w:r>
            <w:proofErr w:type="gramEnd"/>
            <w:r>
              <w:t xml:space="preserve"> grand</w:t>
            </w:r>
          </w:p>
        </w:tc>
      </w:tr>
      <w:tr w:rsidR="00B93428" w14:paraId="69A037F4" w14:textId="77777777" w:rsidTr="00216C73">
        <w:tc>
          <w:tcPr>
            <w:cnfStyle w:val="000010000000" w:firstRow="0" w:lastRow="0" w:firstColumn="0" w:lastColumn="0" w:oddVBand="1" w:evenVBand="0" w:oddHBand="0" w:evenHBand="0" w:firstRowFirstColumn="0" w:firstRowLastColumn="0" w:lastRowFirstColumn="0" w:lastRowLastColumn="0"/>
            <w:tcW w:w="1320" w:type="dxa"/>
          </w:tcPr>
          <w:p w14:paraId="69A037EE" w14:textId="77777777" w:rsidR="00B93428" w:rsidRDefault="00653882">
            <w:r>
              <w:rPr>
                <w:b/>
                <w:bCs/>
              </w:rPr>
              <w:t>Diamètre</w:t>
            </w:r>
          </w:p>
        </w:tc>
        <w:tc>
          <w:tcPr>
            <w:tcW w:w="1320" w:type="dxa"/>
          </w:tcPr>
          <w:p w14:paraId="69A037EF" w14:textId="77777777" w:rsidR="00B93428" w:rsidRDefault="00653882">
            <w:pPr>
              <w:cnfStyle w:val="000000000000" w:firstRow="0" w:lastRow="0" w:firstColumn="0" w:lastColumn="0" w:oddVBand="0" w:evenVBand="0" w:oddHBand="0" w:evenHBand="0" w:firstRowFirstColumn="0" w:firstRowLastColumn="0" w:lastRowFirstColumn="0" w:lastRowLastColumn="0"/>
            </w:pPr>
            <w:proofErr w:type="gramStart"/>
            <w:r>
              <w:t>jusqu’à</w:t>
            </w:r>
            <w:proofErr w:type="gramEnd"/>
            <w:r>
              <w:t xml:space="preserve"> environ 5mm</w:t>
            </w:r>
          </w:p>
        </w:tc>
        <w:tc>
          <w:tcPr>
            <w:cnfStyle w:val="000010000000" w:firstRow="0" w:lastRow="0" w:firstColumn="0" w:lastColumn="0" w:oddVBand="1" w:evenVBand="0" w:oddHBand="0" w:evenHBand="0" w:firstRowFirstColumn="0" w:firstRowLastColumn="0" w:lastRowFirstColumn="0" w:lastRowLastColumn="0"/>
            <w:tcW w:w="1320" w:type="dxa"/>
          </w:tcPr>
          <w:p w14:paraId="69A037F0" w14:textId="77777777" w:rsidR="00B93428" w:rsidRDefault="00653882">
            <w:proofErr w:type="gramStart"/>
            <w:r>
              <w:t>environ</w:t>
            </w:r>
            <w:proofErr w:type="gramEnd"/>
            <w:r>
              <w:t xml:space="preserve"> 8mm</w:t>
            </w:r>
          </w:p>
        </w:tc>
        <w:tc>
          <w:tcPr>
            <w:tcW w:w="1320" w:type="dxa"/>
          </w:tcPr>
          <w:p w14:paraId="69A037F1" w14:textId="77777777" w:rsidR="00B93428" w:rsidRDefault="00653882">
            <w:pPr>
              <w:cnfStyle w:val="000000000000" w:firstRow="0" w:lastRow="0" w:firstColumn="0" w:lastColumn="0" w:oddVBand="0" w:evenVBand="0" w:oddHBand="0" w:evenHBand="0" w:firstRowFirstColumn="0" w:firstRowLastColumn="0" w:lastRowFirstColumn="0" w:lastRowLastColumn="0"/>
            </w:pPr>
            <w:proofErr w:type="gramStart"/>
            <w:r>
              <w:t>environ</w:t>
            </w:r>
            <w:proofErr w:type="gramEnd"/>
            <w:r>
              <w:t xml:space="preserve"> 11m</w:t>
            </w:r>
          </w:p>
        </w:tc>
        <w:tc>
          <w:tcPr>
            <w:cnfStyle w:val="000010000000" w:firstRow="0" w:lastRow="0" w:firstColumn="0" w:lastColumn="0" w:oddVBand="1" w:evenVBand="0" w:oddHBand="0" w:evenHBand="0" w:firstRowFirstColumn="0" w:firstRowLastColumn="0" w:lastRowFirstColumn="0" w:lastRowLastColumn="0"/>
            <w:tcW w:w="1320" w:type="dxa"/>
          </w:tcPr>
          <w:p w14:paraId="69A037F2" w14:textId="77777777" w:rsidR="00B93428" w:rsidRDefault="00653882">
            <w:proofErr w:type="gramStart"/>
            <w:r>
              <w:t>environ</w:t>
            </w:r>
            <w:proofErr w:type="gramEnd"/>
            <w:r>
              <w:t xml:space="preserve"> 14mm</w:t>
            </w:r>
          </w:p>
        </w:tc>
        <w:tc>
          <w:tcPr>
            <w:tcW w:w="1320" w:type="dxa"/>
          </w:tcPr>
          <w:p w14:paraId="69A037F3" w14:textId="77777777" w:rsidR="00B93428" w:rsidRDefault="00653882">
            <w:pPr>
              <w:cnfStyle w:val="000000000000" w:firstRow="0" w:lastRow="0" w:firstColumn="0" w:lastColumn="0" w:oddVBand="0" w:evenVBand="0" w:oddHBand="0" w:evenHBand="0" w:firstRowFirstColumn="0" w:firstRowLastColumn="0" w:lastRowFirstColumn="0" w:lastRowLastColumn="0"/>
            </w:pPr>
            <w:proofErr w:type="gramStart"/>
            <w:r>
              <w:t>environ</w:t>
            </w:r>
            <w:proofErr w:type="gramEnd"/>
            <w:r>
              <w:t xml:space="preserve"> 17mm et plus</w:t>
            </w:r>
          </w:p>
        </w:tc>
      </w:tr>
    </w:tbl>
    <w:p w14:paraId="69A037F5" w14:textId="77777777" w:rsidR="00B93428" w:rsidRDefault="00653882">
      <w:pPr>
        <w:pStyle w:val="Corpsdetexte"/>
      </w:pPr>
      <w:r>
        <w:t xml:space="preserve">Cette variable est intégrée à la Vitis </w:t>
      </w:r>
      <w:proofErr w:type="spellStart"/>
      <w:r>
        <w:t>Ontology</w:t>
      </w:r>
      <w:proofErr w:type="spellEnd"/>
      <w:r>
        <w:t xml:space="preserve"> </w:t>
      </w:r>
      <w:hyperlink r:id="rId11">
        <w:r w:rsidRPr="00653882">
          <w:rPr>
            <w:color w:val="0000FF"/>
            <w:u w:val="single"/>
          </w:rPr>
          <w:t>INTDIAM_OIV</w:t>
        </w:r>
      </w:hyperlink>
      <w:r>
        <w:t>.</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B93428" w14:paraId="69A037F7" w14:textId="77777777">
        <w:trPr>
          <w:cantSplit/>
        </w:trPr>
        <w:tc>
          <w:tcPr>
            <w:tcW w:w="0" w:type="auto"/>
            <w:shd w:val="clear" w:color="auto" w:fill="DAE6FB"/>
            <w:tcMar>
              <w:top w:w="92" w:type="dxa"/>
              <w:bottom w:w="92" w:type="dxa"/>
            </w:tcMar>
          </w:tcPr>
          <w:p w14:paraId="69A037F6" w14:textId="77777777" w:rsidR="00B93428" w:rsidRDefault="00653882">
            <w:pPr>
              <w:pStyle w:val="Corpsdetexte"/>
              <w:spacing w:after="0"/>
              <w:textAlignment w:val="center"/>
            </w:pPr>
            <w:r>
              <w:rPr>
                <w:noProof/>
              </w:rPr>
              <w:drawing>
                <wp:inline distT="0" distB="0" distL="0" distR="0" wp14:anchorId="69A03811" wp14:editId="69A03812">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C:\Program Files\RStudio\resources\app\bin\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B93428" w14:paraId="69A037F9" w14:textId="77777777">
        <w:trPr>
          <w:cantSplit/>
        </w:trPr>
        <w:tc>
          <w:tcPr>
            <w:tcW w:w="0" w:type="auto"/>
            <w:tcMar>
              <w:top w:w="108" w:type="dxa"/>
              <w:bottom w:w="108" w:type="dxa"/>
            </w:tcMar>
          </w:tcPr>
          <w:p w14:paraId="69A037F8" w14:textId="77777777" w:rsidR="00B93428" w:rsidRDefault="00653882">
            <w:pPr>
              <w:pStyle w:val="Corpsdetexte"/>
              <w:spacing w:before="16" w:after="16"/>
            </w:pPr>
            <w:r>
              <w:t xml:space="preserve">Le protocole de mesure du caractère OIV 354 diamètre des </w:t>
            </w:r>
            <w:proofErr w:type="spellStart"/>
            <w:r>
              <w:t>entrenoeuds</w:t>
            </w:r>
            <w:proofErr w:type="spellEnd"/>
            <w:r>
              <w:t xml:space="preserve"> diffère légèrement de celui proposé ici. En effet, la mesure est une moyenne du diamètre de 10 </w:t>
            </w:r>
            <w:proofErr w:type="spellStart"/>
            <w:r>
              <w:t>entre-noeuds</w:t>
            </w:r>
            <w:proofErr w:type="spellEnd"/>
            <w:r>
              <w:t xml:space="preserve"> sur le tiers médian de rameaux à proximité du tronc, sur 10 rameaux [4].</w:t>
            </w:r>
          </w:p>
        </w:tc>
      </w:tr>
    </w:tbl>
    <w:p w14:paraId="69A037FA" w14:textId="77777777" w:rsidR="00B93428" w:rsidRDefault="00653882">
      <w:pPr>
        <w:pStyle w:val="Titre2"/>
      </w:pPr>
      <w:bookmarkStart w:id="14" w:name="interprétation-des-résultats"/>
      <w:bookmarkEnd w:id="13"/>
      <w:r>
        <w:t>Interprétation des résultats</w:t>
      </w:r>
    </w:p>
    <w:p w14:paraId="69A037FB" w14:textId="77777777" w:rsidR="00B93428" w:rsidRDefault="00653882">
      <w:r>
        <w:t>La vigueur est directement liée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p w14:paraId="69A037FC" w14:textId="77777777" w:rsidR="00B93428" w:rsidRDefault="00653882">
      <w:pPr>
        <w:pStyle w:val="Corpsdetexte"/>
      </w:pPr>
      <w:r>
        <w:t xml:space="preserve">L’interprétation doit tenir compte du matériel végétal (cépage surtout et porte-greffe), qui </w:t>
      </w:r>
      <w:proofErr w:type="gramStart"/>
      <w:r>
        <w:t>a</w:t>
      </w:r>
      <w:proofErr w:type="gramEnd"/>
      <w:r>
        <w:t xml:space="preserve"> une forte influence sur la vigueur.</w:t>
      </w:r>
    </w:p>
    <w:p w14:paraId="69A037FD" w14:textId="77777777" w:rsidR="00B93428" w:rsidRDefault="00653882">
      <w:pPr>
        <w:pStyle w:val="Titre1"/>
      </w:pPr>
      <w:bookmarkStart w:id="15" w:name="compléments-dinformation"/>
      <w:bookmarkEnd w:id="14"/>
      <w:bookmarkEnd w:id="12"/>
      <w:r>
        <w:t>Compléments d’information</w:t>
      </w:r>
    </w:p>
    <w:p w14:paraId="69A037FE" w14:textId="77777777" w:rsidR="00B93428" w:rsidRDefault="00653882">
      <w:pPr>
        <w:pStyle w:val="Titre2"/>
      </w:pPr>
      <w:bookmarkStart w:id="16" w:name="autres-méthodes"/>
      <w:r>
        <w:t>Autres méthodes</w:t>
      </w:r>
    </w:p>
    <w:p w14:paraId="69A037FF" w14:textId="77777777" w:rsidR="00B93428" w:rsidRDefault="00653882">
      <w:pPr>
        <w:numPr>
          <w:ilvl w:val="0"/>
          <w:numId w:val="13"/>
        </w:numPr>
      </w:pPr>
      <w:r>
        <w:t>Mesure du poids des bois de taille et/ou des sarments</w:t>
      </w:r>
    </w:p>
    <w:p w14:paraId="69A03800" w14:textId="77777777" w:rsidR="00B93428" w:rsidRDefault="00653882">
      <w:pPr>
        <w:numPr>
          <w:ilvl w:val="0"/>
          <w:numId w:val="13"/>
        </w:numPr>
      </w:pPr>
      <w:r>
        <w:t>Estimation visuelle de la vigueur (descripteur OIV 351)</w:t>
      </w:r>
    </w:p>
    <w:p w14:paraId="69A03801" w14:textId="77777777" w:rsidR="00B93428" w:rsidRDefault="00653882">
      <w:pPr>
        <w:pStyle w:val="Titre2"/>
      </w:pPr>
      <w:bookmarkStart w:id="17" w:name="ressources-complémentaires"/>
      <w:bookmarkEnd w:id="16"/>
      <w:r>
        <w:t>Ressources complémentaires</w:t>
      </w:r>
    </w:p>
    <w:p w14:paraId="69A03802" w14:textId="77777777" w:rsidR="00B93428" w:rsidRDefault="00653882">
      <w:pPr>
        <w:pStyle w:val="Titre2"/>
      </w:pPr>
      <w:bookmarkStart w:id="18" w:name="références"/>
      <w:bookmarkEnd w:id="17"/>
      <w:r>
        <w:t>Références</w:t>
      </w:r>
    </w:p>
    <w:p w14:paraId="69A03803" w14:textId="77777777" w:rsidR="00B93428" w:rsidRDefault="00653882">
      <w:bookmarkStart w:id="19" w:name="ref-champagnol1984"/>
      <w:bookmarkStart w:id="20" w:name="refs"/>
      <w:r>
        <w:t xml:space="preserve">1. </w:t>
      </w:r>
      <w:r>
        <w:tab/>
      </w:r>
      <w:proofErr w:type="spellStart"/>
      <w:r>
        <w:t>Champagnol</w:t>
      </w:r>
      <w:proofErr w:type="spellEnd"/>
      <w:r>
        <w:t xml:space="preserve">, F. </w:t>
      </w:r>
      <w:r>
        <w:rPr>
          <w:i/>
          <w:iCs/>
        </w:rPr>
        <w:t>Éléments de Physiologie de la Vigne et de Viticulture Générale</w:t>
      </w:r>
      <w:proofErr w:type="gramStart"/>
      <w:r>
        <w:rPr>
          <w:i/>
          <w:iCs/>
        </w:rPr>
        <w:t>.</w:t>
      </w:r>
      <w:r>
        <w:t>;</w:t>
      </w:r>
      <w:proofErr w:type="gramEnd"/>
      <w:r>
        <w:t xml:space="preserve"> </w:t>
      </w:r>
      <w:proofErr w:type="gramStart"/>
      <w:r>
        <w:t>1984;</w:t>
      </w:r>
      <w:proofErr w:type="gramEnd"/>
    </w:p>
    <w:p w14:paraId="69A03804" w14:textId="77777777" w:rsidR="00B93428" w:rsidRDefault="00653882">
      <w:bookmarkStart w:id="21" w:name="ref-cahurel1995"/>
      <w:bookmarkEnd w:id="19"/>
      <w:r>
        <w:t xml:space="preserve">2. </w:t>
      </w:r>
      <w:r>
        <w:tab/>
      </w:r>
      <w:proofErr w:type="spellStart"/>
      <w:r>
        <w:t>Cahurel</w:t>
      </w:r>
      <w:proofErr w:type="spellEnd"/>
      <w:r>
        <w:t xml:space="preserve">, J.-Y. </w:t>
      </w:r>
      <w:r>
        <w:rPr>
          <w:i/>
          <w:iCs/>
        </w:rPr>
        <w:t>Détermination de la vigueur. Etude de différentes méthodes</w:t>
      </w:r>
      <w:proofErr w:type="gramStart"/>
      <w:r>
        <w:rPr>
          <w:i/>
          <w:iCs/>
        </w:rPr>
        <w:t>.</w:t>
      </w:r>
      <w:r>
        <w:t>;</w:t>
      </w:r>
      <w:proofErr w:type="gramEnd"/>
      <w:r>
        <w:t xml:space="preserve"> </w:t>
      </w:r>
      <w:proofErr w:type="gramStart"/>
      <w:r>
        <w:t>1995;</w:t>
      </w:r>
      <w:proofErr w:type="gramEnd"/>
      <w:r>
        <w:t xml:space="preserve"> p. </w:t>
      </w:r>
      <w:proofErr w:type="gramStart"/>
      <w:r>
        <w:t>6;</w:t>
      </w:r>
      <w:proofErr w:type="gramEnd"/>
    </w:p>
    <w:p w14:paraId="69A03805" w14:textId="77777777" w:rsidR="00B93428" w:rsidRDefault="00653882">
      <w:bookmarkStart w:id="22" w:name="ref-claverie2025"/>
      <w:bookmarkEnd w:id="21"/>
      <w:r>
        <w:lastRenderedPageBreak/>
        <w:t xml:space="preserve">3. </w:t>
      </w:r>
      <w:r>
        <w:tab/>
        <w:t xml:space="preserve">Claverie, M. </w:t>
      </w:r>
      <w:r>
        <w:rPr>
          <w:i/>
          <w:iCs/>
        </w:rPr>
        <w:t>Relation diamètre de sarments (Diam) / Poids de bois de taille (PBT) sur le réseau « rendements » du Vaucluse- Hiver 2016/</w:t>
      </w:r>
      <w:proofErr w:type="gramStart"/>
      <w:r>
        <w:rPr>
          <w:i/>
          <w:iCs/>
        </w:rPr>
        <w:t>2017</w:t>
      </w:r>
      <w:r>
        <w:t>;</w:t>
      </w:r>
      <w:proofErr w:type="gramEnd"/>
      <w:r>
        <w:t xml:space="preserve"> </w:t>
      </w:r>
      <w:proofErr w:type="gramStart"/>
      <w:r>
        <w:t>2025;</w:t>
      </w:r>
      <w:proofErr w:type="gramEnd"/>
      <w:r>
        <w:t xml:space="preserve"> p. </w:t>
      </w:r>
      <w:proofErr w:type="gramStart"/>
      <w:r>
        <w:t>3;</w:t>
      </w:r>
      <w:proofErr w:type="gramEnd"/>
    </w:p>
    <w:p w14:paraId="69A03806" w14:textId="77777777" w:rsidR="00B93428" w:rsidRDefault="00653882">
      <w:bookmarkStart w:id="23" w:name="ref-2ndédit2001"/>
      <w:bookmarkEnd w:id="22"/>
      <w:r>
        <w:t xml:space="preserve">4. </w:t>
      </w:r>
      <w:r>
        <w:tab/>
        <w:t xml:space="preserve">OIV 2nd édition de la liste des descripteurs OIV pour les variétés et espèces de Vitis. </w:t>
      </w:r>
      <w:r>
        <w:rPr>
          <w:b/>
          <w:bCs/>
        </w:rPr>
        <w:t>2001</w:t>
      </w:r>
      <w:r>
        <w:t>.</w:t>
      </w:r>
    </w:p>
    <w:bookmarkEnd w:id="23"/>
    <w:bookmarkEnd w:id="20"/>
    <w:bookmarkEnd w:id="18"/>
    <w:bookmarkEnd w:id="15"/>
    <w:sectPr w:rsidR="00B93428" w:rsidSect="003905BB">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0381E" w14:textId="77777777" w:rsidR="00653882" w:rsidRDefault="00653882">
      <w:pPr>
        <w:spacing w:after="0" w:line="240" w:lineRule="auto"/>
      </w:pPr>
      <w:r>
        <w:separator/>
      </w:r>
    </w:p>
  </w:endnote>
  <w:endnote w:type="continuationSeparator" w:id="0">
    <w:p w14:paraId="69A03820" w14:textId="77777777" w:rsidR="00653882" w:rsidRDefault="0065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03815"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03816"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69A03817"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03819"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0381A" w14:textId="77777777" w:rsidR="00653882" w:rsidRDefault="00653882">
      <w:pPr>
        <w:spacing w:after="0" w:line="240" w:lineRule="auto"/>
      </w:pPr>
      <w:r>
        <w:separator/>
      </w:r>
    </w:p>
  </w:footnote>
  <w:footnote w:type="continuationSeparator" w:id="0">
    <w:p w14:paraId="69A0381C" w14:textId="77777777" w:rsidR="00653882" w:rsidRDefault="00653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03813"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0381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03818"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E0B05D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C2A00CD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1302035086">
    <w:abstractNumId w:val="9"/>
  </w:num>
  <w:num w:numId="11" w16cid:durableId="978415933">
    <w:abstractNumId w:val="10"/>
  </w:num>
  <w:num w:numId="12" w16cid:durableId="781996142">
    <w:abstractNumId w:val="10"/>
  </w:num>
  <w:num w:numId="13" w16cid:durableId="2248034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16C73"/>
    <w:rsid w:val="0023566B"/>
    <w:rsid w:val="00237E62"/>
    <w:rsid w:val="0024505F"/>
    <w:rsid w:val="0025448C"/>
    <w:rsid w:val="0029639D"/>
    <w:rsid w:val="003150A9"/>
    <w:rsid w:val="00326F90"/>
    <w:rsid w:val="003362E3"/>
    <w:rsid w:val="003905BB"/>
    <w:rsid w:val="003E4CC1"/>
    <w:rsid w:val="003F44FE"/>
    <w:rsid w:val="003F52F5"/>
    <w:rsid w:val="00524418"/>
    <w:rsid w:val="005326A4"/>
    <w:rsid w:val="0054382C"/>
    <w:rsid w:val="0063066D"/>
    <w:rsid w:val="00631A70"/>
    <w:rsid w:val="00647167"/>
    <w:rsid w:val="00653882"/>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93428"/>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A037A6"/>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opontology.org/term/CO_356:100006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921</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Diamètre des sarments</dc:title>
  <dc:creator/>
  <cp:keywords/>
  <cp:lastModifiedBy>DELPUECH Xavier</cp:lastModifiedBy>
  <cp:revision>3</cp:revision>
  <dcterms:created xsi:type="dcterms:W3CDTF">2025-07-25T13:27:00Z</dcterms:created>
  <dcterms:modified xsi:type="dcterms:W3CDTF">2025-07-25T13:41:00Z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3 juillet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