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0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Comment</w:t>
      </w:r>
      <w:r>
        <w:t xml:space="preserve"> </w:t>
      </w:r>
      <w:r>
        <w:t xml:space="preserve">changer</w:t>
      </w:r>
      <w:r>
        <w:t xml:space="preserve"> </w:t>
      </w:r>
      <w:r>
        <w:t xml:space="preserve">sans</w:t>
      </w:r>
      <w:r>
        <w:t xml:space="preserve"> </w:t>
      </w:r>
      <w:r>
        <w:t xml:space="preserve">tout</w:t>
      </w:r>
      <w:r>
        <w:t xml:space="preserve"> </w:t>
      </w:r>
      <w:r>
        <w:t xml:space="preserve">bouleverser</w:t>
      </w:r>
      <w:r>
        <w:t xml:space="preserve"> </w:t>
      </w:r>
      <w:r>
        <w:t xml:space="preserve">?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des</w:t>
          </w:r>
          <w:r>
            <w:t xml:space="preserve"> </w:t>
          </w:r>
          <w:r>
            <w:t xml:space="preserve">matières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Avec un vignoble majoritairement IGP (75% de la production), l’exploitation est labellisée HVE et livre son raisin à la cave coopérative.</w:t>
      </w:r>
      <w:r>
        <w:t xml:space="preserve"> </w:t>
      </w:r>
      <w:r>
        <w:rPr>
          <w:bCs/>
          <w:b/>
        </w:rPr>
        <w:t xml:space="preserve">Rajouter gamme de SAU</w:t>
      </w:r>
    </w:p>
    <w:p>
      <w:pPr>
        <w:pStyle w:val="BodyText"/>
      </w:pPr>
      <w:r>
        <w:drawing>
          <wp:inline>
            <wp:extent cx="5334000" cy="869323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E1_bandoEx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L’exploitation mobilise environ 2 équivalents temps plein à l’année, dispose d’une</w:t>
      </w:r>
      <w:r>
        <w:t xml:space="preserve"> </w:t>
      </w:r>
      <w:r>
        <w:rPr>
          <w:bCs/>
          <w:b/>
        </w:rPr>
        <w:t xml:space="preserve">voûte pneumatique</w:t>
      </w:r>
      <w:r>
        <w:t xml:space="preserve"> </w:t>
      </w:r>
      <w:r>
        <w:t xml:space="preserve">pour les traitements. Elle n’est pas équipée en intercep.</w:t>
      </w:r>
    </w:p>
    <w:p>
      <w:pPr>
        <w:pStyle w:val="BodyText"/>
      </w:pPr>
      <w:r>
        <w:t xml:space="preserve">Sa capacité d’investissement est d’environ 15 000 € par an.</w:t>
      </w:r>
    </w:p>
    <w:bookmarkStart w:id="28" w:name="les-pratiques-actuelles-de-lexploitation"/>
    <w:p>
      <w:pPr>
        <w:pStyle w:val="Heading2"/>
      </w:pPr>
      <w:r>
        <w:t xml:space="preserve">Les pratiques actuelles de l’exploitation</w:t>
      </w:r>
    </w:p>
    <w:bookmarkStart w:id="26" w:name="la-protection-phytosanitaire"/>
    <w:p>
      <w:pPr>
        <w:pStyle w:val="Heading3"/>
      </w:pPr>
      <w:r>
        <w:t xml:space="preserve">La protection phytosanitaire</w:t>
      </w:r>
    </w:p>
    <w:p>
      <w:pPr>
        <w:pStyle w:val="FirstParagraph"/>
      </w:pPr>
      <w:r>
        <w:t xml:space="preserve">L’exploitation pratique le sous-dosage pour les traitements en début de saison lorsqu’il y a peu de végétation à protéger.</w:t>
      </w:r>
    </w:p>
    <w:p>
      <w:pPr>
        <w:pStyle w:val="BodyText"/>
      </w:pPr>
      <w:r>
        <w:t xml:space="preserve">Pour gérer les cicadelles et les vers de la grappe 2 à 3 traitements insecticides sont appliqués par an (produits double cible) 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083396" cy="2940532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s/E1_IFT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396" cy="2940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IFT moyen sur l’exploitation</w:t>
            </w:r>
          </w:p>
        </w:tc>
      </w:tr>
    </w:tbl>
    <w:bookmarkEnd w:id="26"/>
    <w:bookmarkStart w:id="27" w:name="gestion-de-lherbe"/>
    <w:p>
      <w:pPr>
        <w:pStyle w:val="Heading3"/>
      </w:pPr>
      <w:r>
        <w:t xml:space="preserve">Gestion de l’herbe</w:t>
      </w:r>
    </w:p>
    <w:p>
      <w:pPr>
        <w:pStyle w:val="FirstParagraph"/>
      </w:pPr>
      <w:r>
        <w:t xml:space="preserve">Les inter-rangs sont labourés, environ 4 passages par an dont 1 labour d’automne. Sur le rang, l’exploitation a recours au désherbage chimique, avec 2 passages de glyphosate et 1 anti-germinatif.</w:t>
      </w:r>
    </w:p>
    <w:bookmarkEnd w:id="27"/>
    <w:bookmarkEnd w:id="28"/>
    <w:bookmarkStart w:id="34" w:name="quelles-évolutions-des-pratiques"/>
    <w:p>
      <w:pPr>
        <w:pStyle w:val="Heading2"/>
      </w:pPr>
      <w:r>
        <w:t xml:space="preserve">Quelles évolutions des pratiques ?</w:t>
      </w:r>
    </w:p>
    <w:bookmarkStart w:id="32" w:name="X5a8c3d3764e043ab51907463f6bd6ff403b0c68"/>
    <w:p>
      <w:pPr>
        <w:pStyle w:val="Heading3"/>
      </w:pPr>
      <w:r>
        <w:t xml:space="preserve">Des leviers simples et peu contraignants à mettre en œuvre</w:t>
      </w:r>
    </w:p>
    <w:p>
      <w:pPr>
        <w:pStyle w:val="TableCaption"/>
      </w:pPr>
      <w:r>
        <w:t xml:space="preserve">Des Leviers simples et peu contraignants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Des Leviers simples et peu contraignants"/>
      </w:tblPr>
      <w:tblGrid>
        <w:gridCol w:w="2795"/>
        <w:gridCol w:w="512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Objectif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Réduire l’IFT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Mieux raisonner les traitements et optimiser les réglages de son pulvérisateur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Réduire les risques de transfert dans les 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Mettre en œuvre l’enherbement systématique des tournières, supprimer le labour d’automne et sur les parcelles où c’est possible, enherber une partie des inter-rangs.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Protéger les riverains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Planter des haies à proximité des habitations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17405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s/E1_cartepng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17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Mise en oeuvre des leviers sur le parcellaire de l’exploitation</w:t>
            </w:r>
          </w:p>
        </w:tc>
      </w:tr>
    </w:tbl>
    <w:bookmarkEnd w:id="32"/>
    <w:bookmarkStart w:id="33" w:name="réduction-des-impacts"/>
    <w:p>
      <w:pPr>
        <w:pStyle w:val="Heading3"/>
      </w:pPr>
      <w:r>
        <w:t xml:space="preserve">Réduction des impacts</w:t>
      </w:r>
    </w:p>
    <w:p>
      <w:pPr>
        <w:pStyle w:val="FirstParagraph"/>
      </w:pPr>
      <w:r>
        <w:rPr>
          <w:bCs/>
          <w:b/>
        </w:rPr>
        <w:t xml:space="preserve">to be continued…</w:t>
      </w:r>
    </w:p>
    <w:bookmarkEnd w:id="33"/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fr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Comment changer sans tout bouleverser ?</dc:title>
  <dc:creator/>
  <dc:language>fr</dc:language>
  <cp:keywords/>
  <dcterms:created xsi:type="dcterms:W3CDTF">2023-12-15T09:57:44Z</dcterms:created>
  <dcterms:modified xsi:type="dcterms:W3CDTF">2023-12-15T09:57:44Z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des matières</vt:lpwstr>
  </property>
</Properties>
</file>