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7.png" ContentType="image/png"/>
  <Override PartName="/word/media/rId20.png" ContentType="image/png"/>
  <Override PartName="/word/media/rId2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Pulvérisation</w:t>
      </w:r>
      <w:r>
        <w:t xml:space="preserve"> </w:t>
      </w:r>
      <w:r>
        <w:t xml:space="preserve">confinée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61"/>
        <w:gridCol w:w="1952"/>
        <w:gridCol w:w="1952"/>
        <w:gridCol w:w="19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Intérêts environnementaux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Intérêts agronomiques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Contraintes de mise en oeuvre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Acceptabilité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Forte réduction de la dérive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Economie de produits, qualité de pulvérisation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Investissement élevé, temps de chantier et maniabilité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prioriser en zone sensibles</w:t>
            </w:r>
          </w:p>
        </w:tc>
      </w:tr>
    </w:tbl>
    <w:p>
      <w:pPr>
        <w:pStyle w:val="BodyText"/>
      </w:pPr>
      <w:r>
        <w:t xml:space="preserve">Au cours de l’application, avec un pulvérisateur classique, une partie du produit n’atteint pas le feuillage. L’utilisation de panneaux récupérateurs ou de tunnels de traitement permet de :</w:t>
      </w:r>
    </w:p>
    <w:p>
      <w:pPr>
        <w:numPr>
          <w:ilvl w:val="0"/>
          <w:numId w:val="1001"/>
        </w:numPr>
      </w:pPr>
      <w:r>
        <w:t xml:space="preserve">Économiser des produits phytosanitaires en recyclant la bouillie n’ayant pas atteint la cible. L’économie d’intrant phytosanitaire atteint 30 à 40% sur l’année (70 à 80% en début de végétation et 10 à 20% sur végétation bien développée en fonction de la vigueur et de l’état de la parcelle).</w:t>
      </w:r>
    </w:p>
    <w:p>
      <w:pPr>
        <w:numPr>
          <w:ilvl w:val="0"/>
          <w:numId w:val="1001"/>
        </w:numPr>
      </w:pPr>
      <w:r>
        <w:t xml:space="preserve">Réduire la dérive de manière très significative.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57378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L5_Dhugues_Pique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73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Pulvérisateur à panneaux récupérateurs Dhugues Koléos</w:t>
            </w:r>
          </w:p>
        </w:tc>
      </w:tr>
    </w:tbl>
    <w:bookmarkStart w:id="26" w:name="Xb7ef5d08ab0b66c6ff6a4c4940926eb00ca3630"/>
    <w:p>
      <w:pPr>
        <w:pStyle w:val="Heading2"/>
      </w:pPr>
      <w:r>
        <w:t xml:space="preserve">Quelle efficacité sur la réduction de dérive ?</w:t>
      </w:r>
    </w:p>
    <w:p>
      <w:pPr>
        <w:pStyle w:val="FirstParagraph"/>
      </w:pPr>
      <w:r>
        <w:t xml:space="preserve">La plupart des pulvérisateurs à panneaux récupérateurs et à jet porté, lorsqu’ils sont équipés de buses antidérive, sont officiellement reconnus sur la liste du ministère de l’agriculture comme réduisant d’au moins 90% le phénomène de dérive.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740727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s/L5_graphReducPx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407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Réduction de la dérive avec un panneau récupérateur</w:t>
            </w:r>
          </w:p>
        </w:tc>
      </w:tr>
    </w:tbl>
    <w:bookmarkEnd w:id="26"/>
    <w:bookmarkStart w:id="36" w:name="X4f0a6f4ee45784d192e79e78baa3ee3d31b8180"/>
    <w:p>
      <w:pPr>
        <w:pStyle w:val="Heading2"/>
      </w:pPr>
      <w:r>
        <w:t xml:space="preserve">Utiliser un pulvérisateur à panneaux récupérateurs</w:t>
      </w:r>
    </w:p>
    <w:bookmarkStart w:id="30" w:name="optimiser-la-réduction-de-la-dérive"/>
    <w:p>
      <w:pPr>
        <w:pStyle w:val="Heading3"/>
      </w:pPr>
      <w:r>
        <w:t xml:space="preserve">Optimiser la réduction de la dérive</w:t>
      </w:r>
    </w:p>
    <w:p>
      <w:pPr>
        <w:numPr>
          <w:ilvl w:val="0"/>
          <w:numId w:val="1002"/>
        </w:numPr>
      </w:pPr>
      <w:r>
        <w:t xml:space="preserve">Utiliser des</w:t>
      </w:r>
      <w:r>
        <w:t xml:space="preserve"> </w:t>
      </w:r>
      <w:r>
        <w:rPr>
          <w:bCs/>
          <w:b/>
        </w:rPr>
        <w:t xml:space="preserve">buses à injection d’air</w:t>
      </w:r>
      <w:r>
        <w:t xml:space="preserve"> </w:t>
      </w:r>
      <w:r>
        <w:t xml:space="preserve">pour optimiser la réduction de dérive et le taux de récupération. Les buses à fentes à injection d’air sont à préférer aux buses à turbulence pour éviter que le produit ne sorte des panneaux. 5 à 6 hauteurs de buses sont suffisantes pour traiter la végétation, fermer les buses inutiles en début de végétation !</w:t>
      </w:r>
    </w:p>
    <w:p>
      <w:pPr>
        <w:numPr>
          <w:ilvl w:val="0"/>
          <w:numId w:val="1002"/>
        </w:numPr>
      </w:pPr>
      <w:r>
        <w:t xml:space="preserve">Privilégier les panneaux les plus</w:t>
      </w:r>
      <w:r>
        <w:t xml:space="preserve"> </w:t>
      </w:r>
      <w:r>
        <w:rPr>
          <w:bCs/>
          <w:b/>
        </w:rPr>
        <w:t xml:space="preserve">larges</w:t>
      </w:r>
      <w:r>
        <w:t xml:space="preserve"> </w:t>
      </w:r>
      <w:r>
        <w:t xml:space="preserve">qui sont les plus performants pour récupérer la bouillie.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Avertissement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Eviter les panneaux récupérateurs pneumatiques : la finesse des gouttelettes produites ne permet pas une bonne récupération et pénalise la dérive.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Attention aux pollutions ponctuelles (renversement des bacs de récupération, gestion des fonds de cuve, lavage de l’appareil…).</w:t>
            </w:r>
          </w:p>
        </w:tc>
      </w:tr>
    </w:tbl>
    <w:bookmarkEnd w:id="30"/>
    <w:bookmarkStart w:id="35" w:name="optimiser-les-temps-de-chantier"/>
    <w:p>
      <w:pPr>
        <w:pStyle w:val="Heading3"/>
      </w:pPr>
      <w:r>
        <w:t xml:space="preserve">Optimiser les temps de chantier</w:t>
      </w:r>
    </w:p>
    <w:p>
      <w:pPr>
        <w:pStyle w:val="FirstParagraph"/>
      </w:pPr>
      <w:r>
        <w:t xml:space="preserve">Avec ces pulvérisateurs, il est possible de traiter plus vite (jusqu’à 9km/h) sans affecter la qualité de pulvérisation. Attention la vitesse maximale dépend du terrain (sol plat, sans irrégularité).</w:t>
      </w:r>
    </w:p>
    <w:p>
      <w:pPr>
        <w:pStyle w:val="BodyText"/>
      </w:pPr>
      <w:r>
        <w:t xml:space="preserve">Privilégier les parcelles avec des tournières larges (minimum 4.5 à 5m) pour faciliter les manœuvres en bout de rang en tenant compte de l’encombrement des panneaux. Il est nécessaire d’avoir un dispositif de sécurité en cas d’accrochage des panneaux.</w:t>
      </w:r>
    </w:p>
    <w:p>
      <w:pPr>
        <w:pStyle w:val="BodyText"/>
      </w:pPr>
      <w:r>
        <w:t xml:space="preserve">Choisir des appareils équipés de dispositifs de repli et réouverture automatique à la largeur souhaitée pour un débit de chantier optimal. Privilégier les attelages articulés et les cardans double-joint homocinétique pour la maniabilité. Privilégier le double essieu ou boggie par rapport au simple essieu pour la stabilité malgré une moins bonne maniabilité.</w:t>
      </w:r>
    </w:p>
    <w:p>
      <w:pPr>
        <w:pStyle w:val="BodyText"/>
      </w:pPr>
      <w:r>
        <w:t xml:space="preserve">Dispositifs de ré-aspiration de la bouillie dans les panneaux : Eviter les dispositifs utilisant des hydro-injecteurs afin d’éviter la mousse dans la cuve lors du recyclage de la bouillie (préférer dispositif avec pompe péristaltique ou pompe annexe).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 bilan économique favorable pour les panneaux 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Les économies de produits phytosanitaires compensent généralement le surcoût à l’achat et les temps de travaux plus importants. Consulter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cet article</w:t>
              </w:r>
            </w:hyperlink>
            <w:r>
              <w:t xml:space="preserve"> </w:t>
            </w:r>
            <w:r>
              <w:t xml:space="preserve">sur Matévi pour en savoir plus.</w:t>
            </w:r>
          </w:p>
        </w:tc>
      </w:tr>
    </w:tbl>
    <w:bookmarkEnd w:id="35"/>
    <w:bookmarkEnd w:id="36"/>
    <w:bookmarkStart w:id="39" w:name="pour-aller-plus-loin"/>
    <w:p>
      <w:pPr>
        <w:pStyle w:val="Heading2"/>
      </w:pPr>
      <w:r>
        <w:t xml:space="preserve">Pour aller plus loin</w:t>
      </w:r>
    </w:p>
    <w:p>
      <w:pPr>
        <w:pStyle w:val="FirstParagraph"/>
      </w:pPr>
      <w:r>
        <w:t xml:space="preserve">Pour réduire la dérive, utiliser des buses antidérives :</w:t>
      </w:r>
      <w:r>
        <w:t xml:space="preserve"> </w:t>
      </w:r>
      <w:hyperlink r:id="rId37">
        <w:r>
          <w:rPr>
            <w:rStyle w:val="Hyperlink"/>
          </w:rPr>
          <w:t xml:space="preserve">Utiliser des buses antidérive sur les pulvérisateurs à jet porté</w:t>
        </w:r>
      </w:hyperlink>
    </w:p>
    <w:p>
      <w:pPr>
        <w:pStyle w:val="BodyText"/>
      </w:pPr>
      <w:r>
        <w:t xml:space="preserve">Avec un tel pulvérisateur, bien réglé et bien utilisé, vous pourrez aussi réduire les doses en sécurité en complétant avec un outil d’aide à la décision pour la gestion des traitements phytosanitaires :</w:t>
      </w:r>
      <w:r>
        <w:t xml:space="preserve"> </w:t>
      </w:r>
      <w:hyperlink r:id="rId38">
        <w:r>
          <w:rPr>
            <w:rStyle w:val="Hyperlink"/>
          </w:rPr>
          <w:t xml:space="preserve">Utiliser un outil d’aide à la décision pour la protection sanitaire</w:t>
        </w:r>
      </w:hyperlink>
    </w:p>
    <w:bookmarkEnd w:id="39"/>
    <w:bookmarkStart w:id="50" w:name="ressources-complémentaires"/>
    <w:p>
      <w:pPr>
        <w:pStyle w:val="Heading2"/>
      </w:pPr>
      <w:r>
        <w:t xml:space="preserve">Ressources complémentaires</w:t>
      </w:r>
    </w:p>
    <w:bookmarkStart w:id="43" w:name="en-ligne"/>
    <w:p>
      <w:pPr>
        <w:pStyle w:val="Heading3"/>
      </w:pPr>
      <w:r>
        <w:t xml:space="preserve">En ligne</w:t>
      </w:r>
    </w:p>
    <w:p>
      <w:pPr>
        <w:pStyle w:val="FirstParagraph"/>
      </w:pPr>
      <w:hyperlink r:id="rId40">
        <w:r>
          <w:rPr>
            <w:rStyle w:val="Hyperlink"/>
          </w:rPr>
          <w:t xml:space="preserve">https://www.youtube.com/watch?v=EbjgyjnJKDM</w:t>
        </w:r>
      </w:hyperlink>
    </w:p>
    <w:p>
      <w:pPr>
        <w:numPr>
          <w:ilvl w:val="0"/>
          <w:numId w:val="1004"/>
        </w:numPr>
      </w:pPr>
      <w:hyperlink r:id="rId41">
        <w:r>
          <w:rPr>
            <w:rStyle w:val="Hyperlink"/>
          </w:rPr>
          <w:t xml:space="preserve">Fiche pratique IFV Occitanie</w:t>
        </w:r>
      </w:hyperlink>
    </w:p>
    <w:p>
      <w:pPr>
        <w:numPr>
          <w:ilvl w:val="0"/>
          <w:numId w:val="1004"/>
        </w:numPr>
      </w:pPr>
      <w:hyperlink r:id="rId42">
        <w:r>
          <w:rPr>
            <w:rStyle w:val="Hyperlink"/>
          </w:rPr>
          <w:t xml:space="preserve">Article sur la pulvérisation confinée</w:t>
        </w:r>
      </w:hyperlink>
    </w:p>
    <w:bookmarkEnd w:id="43"/>
    <w:bookmarkStart w:id="49" w:name="a-télécharger"/>
    <w:p>
      <w:pPr>
        <w:pStyle w:val="Heading3"/>
      </w:pPr>
      <w:r>
        <w:t xml:space="preserve">A télécharger</w:t>
      </w:r>
    </w:p>
    <w:p>
      <w:pPr>
        <w:numPr>
          <w:ilvl w:val="0"/>
          <w:numId w:val="1005"/>
        </w:numPr>
      </w:pPr>
      <w:hyperlink r:id="rId44">
        <w:r>
          <w:rPr>
            <w:rStyle w:val="Hyperlink"/>
          </w:rPr>
          <w:t xml:space="preserve">Guide du choix du pulvérisateur en vignes larges (PDF)</w:t>
        </w:r>
      </w:hyperlink>
    </w:p>
    <w:p>
      <w:pPr>
        <w:numPr>
          <w:ilvl w:val="0"/>
          <w:numId w:val="1005"/>
        </w:numPr>
      </w:pPr>
      <w:hyperlink r:id="rId45">
        <w:r>
          <w:rPr>
            <w:rStyle w:val="Hyperlink"/>
          </w:rPr>
          <w:t xml:space="preserve">Les panneaux récupérateurs : atouts et limites (PDF)</w:t>
        </w:r>
      </w:hyperlink>
    </w:p>
    <w:p>
      <w:pPr>
        <w:numPr>
          <w:ilvl w:val="0"/>
          <w:numId w:val="1005"/>
        </w:numPr>
      </w:pPr>
      <w:hyperlink r:id="rId34">
        <w:r>
          <w:rPr>
            <w:rStyle w:val="Hyperlink"/>
          </w:rPr>
          <w:t xml:space="preserve">Article intégrant la dimension technico-économique sur Matévi (PDF)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Ind w:w="720" w:type="dxa"/>
      </w:tblPr>
      <w:tblGrid>
        <w:gridCol w:w="7920"/>
      </w:tblGrid>
      <w:tr>
        <w:tc>
          <w:tcPr/>
          <w:p>
            <w:pPr>
              <w:jc w:val="center"/>
            </w:pPr>
            <w:hyperlink r:id="rId44">
              <w:r>
                <w:drawing>
                  <wp:inline>
                    <wp:extent cx="635000" cy="876300"/>
                    <wp:effectExtent b="0" l="0" r="0" t="0"/>
                    <wp:docPr descr="" title="" id="47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5_link_guidePulveChoix.png" id="4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00" cy="876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Guide choix pulvérisateur</w:t>
            </w:r>
          </w:p>
        </w:tc>
      </w:tr>
    </w:tbl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46" Target="media/rId46.png" /><Relationship Type="http://schemas.openxmlformats.org/officeDocument/2006/relationships/hyperlink" Id="rId37" Target="L3_buses.qmd" TargetMode="External" /><Relationship Type="http://schemas.openxmlformats.org/officeDocument/2006/relationships/hyperlink" Id="rId38" Target="L9_oad.qmd" TargetMode="External" /><Relationship Type="http://schemas.openxmlformats.org/officeDocument/2006/relationships/hyperlink" Id="rId34" Target="https://www.matevi-france.com/uploads/tx_matevibase/Pulve_confinee_Approche_tech_eco_MateVi_2019.pdf" TargetMode="External" /><Relationship Type="http://schemas.openxmlformats.org/officeDocument/2006/relationships/hyperlink" Id="rId41" Target="https://www.vignevin-occitanie.com/fiches-pratiques/utilisation-de-panneaux-recuperateurs/" TargetMode="External" /><Relationship Type="http://schemas.openxmlformats.org/officeDocument/2006/relationships/hyperlink" Id="rId42" Target="https://www.vignevin.com/article/la-pulverisation-confinee-en-viticulture/" TargetMode="External" /><Relationship Type="http://schemas.openxmlformats.org/officeDocument/2006/relationships/hyperlink" Id="rId45" Target="https://www.vignevin.com/wp-content/uploads/2020/03/2017-Article_panneaux_recuperateurs_IFV-IRSTEA.pdf?_rt=M3wxfHBhbm5lYXV4IHLDqWN1cMOpcmF0ZXVyc3wxNjkzOTc5MzU3&amp;_rt_nonce=1b8b44f349" TargetMode="External" /><Relationship Type="http://schemas.openxmlformats.org/officeDocument/2006/relationships/hyperlink" Id="rId44" Target="https://www.vignevin.com/wp-content/uploads/2021/05/Guide-pulve-2020-BD-2.pdf" TargetMode="External" /><Relationship Type="http://schemas.openxmlformats.org/officeDocument/2006/relationships/hyperlink" Id="rId40" Target="https://www.youtube.com/watch?v=EbjgyjnJKD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L3_buses.qmd" TargetMode="External" /><Relationship Type="http://schemas.openxmlformats.org/officeDocument/2006/relationships/hyperlink" Id="rId38" Target="L9_oad.qmd" TargetMode="External" /><Relationship Type="http://schemas.openxmlformats.org/officeDocument/2006/relationships/hyperlink" Id="rId34" Target="https://www.matevi-france.com/uploads/tx_matevibase/Pulve_confinee_Approche_tech_eco_MateVi_2019.pdf" TargetMode="External" /><Relationship Type="http://schemas.openxmlformats.org/officeDocument/2006/relationships/hyperlink" Id="rId41" Target="https://www.vignevin-occitanie.com/fiches-pratiques/utilisation-de-panneaux-recuperateurs/" TargetMode="External" /><Relationship Type="http://schemas.openxmlformats.org/officeDocument/2006/relationships/hyperlink" Id="rId42" Target="https://www.vignevin.com/article/la-pulverisation-confinee-en-viticulture/" TargetMode="External" /><Relationship Type="http://schemas.openxmlformats.org/officeDocument/2006/relationships/hyperlink" Id="rId45" Target="https://www.vignevin.com/wp-content/uploads/2020/03/2017-Article_panneaux_recuperateurs_IFV-IRSTEA.pdf?_rt=M3wxfHBhbm5lYXV4IHLDqWN1cMOpcmF0ZXVyc3wxNjkzOTc5MzU3&amp;_rt_nonce=1b8b44f349" TargetMode="External" /><Relationship Type="http://schemas.openxmlformats.org/officeDocument/2006/relationships/hyperlink" Id="rId44" Target="https://www.vignevin.com/wp-content/uploads/2021/05/Guide-pulve-2020-BD-2.pdf" TargetMode="External" /><Relationship Type="http://schemas.openxmlformats.org/officeDocument/2006/relationships/hyperlink" Id="rId40" Target="https://www.youtube.com/watch?v=EbjgyjnJKD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Pulvérisation confinée</dc:title>
  <dc:creator/>
  <dc:language>fr</dc:language>
  <cp:keywords/>
  <dcterms:created xsi:type="dcterms:W3CDTF">2023-12-21T07:38:59Z</dcterms:created>
  <dcterms:modified xsi:type="dcterms:W3CDTF">2023-12-21T07:38:59Z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des matières</vt:lpwstr>
  </property>
</Properties>
</file>