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un</w:t>
      </w:r>
      <w:r>
        <w:t xml:space="preserve"> </w:t>
      </w:r>
      <w:r>
        <w:t xml:space="preserve">outil</w:t>
      </w:r>
      <w:r>
        <w:t xml:space="preserve"> </w:t>
      </w:r>
      <w:r>
        <w:t xml:space="preserve">d’aide</w:t>
      </w:r>
      <w:r>
        <w:t xml:space="preserve"> </w:t>
      </w:r>
      <w:r>
        <w:t xml:space="preserve">à</w:t>
      </w:r>
      <w:r>
        <w:t xml:space="preserve"> </w:t>
      </w:r>
      <w:r>
        <w:t xml:space="preserve">la</w:t>
      </w:r>
      <w:r>
        <w:t xml:space="preserve"> </w:t>
      </w:r>
      <w:r>
        <w:t xml:space="preserve">décision</w:t>
      </w:r>
      <w:r>
        <w:t xml:space="preserve"> </w:t>
      </w:r>
      <w:r>
        <w:t xml:space="preserve">pour</w:t>
      </w:r>
      <w:r>
        <w:t xml:space="preserve"> </w:t>
      </w:r>
      <w:r>
        <w:t xml:space="preserve">la</w:t>
      </w:r>
      <w:r>
        <w:t xml:space="preserve"> </w:t>
      </w:r>
      <w:r>
        <w:t xml:space="preserve">protection</w:t>
      </w:r>
      <w:r>
        <w:t xml:space="preserve"> </w:t>
      </w:r>
      <w:r>
        <w:t xml:space="preserve">sanitaire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des intrants</w:t>
            </w:r>
          </w:p>
        </w:tc>
        <w:tc>
          <w:tcPr/>
          <w:p>
            <w:pPr>
              <w:pStyle w:val="Compact"/>
              <w:jc w:val="left"/>
            </w:pPr>
            <w:r>
              <w:t xml:space="preserve">Sécurisation de la récolte. Traçabilité. Meilleure organisation.</w:t>
            </w:r>
          </w:p>
        </w:tc>
        <w:tc>
          <w:tcPr/>
          <w:p>
            <w:pPr>
              <w:pStyle w:val="Compact"/>
              <w:jc w:val="left"/>
            </w:pPr>
            <w:r>
              <w:t xml:space="preserve">Fiabilité des données météo</w:t>
            </w:r>
          </w:p>
        </w:tc>
        <w:tc>
          <w:tcPr/>
          <w:p>
            <w:pPr>
              <w:pStyle w:val="Compact"/>
              <w:jc w:val="left"/>
            </w:pPr>
            <w:r>
              <w:t xml:space="preserve">Variable</w:t>
            </w:r>
          </w:p>
        </w:tc>
      </w:tr>
    </w:tbl>
    <w:p>
      <w:pPr>
        <w:pStyle w:val="BodyText"/>
      </w:pPr>
      <w:r>
        <w:t xml:space="preserve">Un outil d’aide à la décision (OAD) utilise et analyse différentes sources d’informations (modèles, données météo, bases de données sur les produits phytosanitaires…) afin de proposer la meilleure stratégie de protection, adaptée au contexte de l’année. Au-delà de guider le viticulteur dans les choix de traitement, la plupart des OAD apporte également des informations techniques (choix des produits, gestion de la résistance…) et réglementaires (DSPPR, mélange des produits…).</w:t>
      </w:r>
    </w:p>
    <w:bookmarkStart w:id="20" w:name="réduction-des-impacts-environnementaux"/>
    <w:p>
      <w:pPr>
        <w:pStyle w:val="Heading2"/>
      </w:pPr>
      <w:r>
        <w:t xml:space="preserve">Réduction des impacts environnementaux</w:t>
      </w:r>
    </w:p>
    <w:p>
      <w:pPr>
        <w:pStyle w:val="FirstParagraph"/>
      </w:pPr>
      <w:r>
        <w:t xml:space="preserve">La réduction des intrants permis par les OAD est très variable selon les habitudes du viticulteur, la pression sanitaire de l’année, le niveau de risque accepté par le décideur… Il se situe généralement entre 10 et 30 %.</w:t>
      </w:r>
    </w:p>
    <w:bookmarkEnd w:id="20"/>
    <w:bookmarkStart w:id="21" w:name="impacts-agronomiques"/>
    <w:p>
      <w:pPr>
        <w:pStyle w:val="Heading2"/>
      </w:pPr>
      <w:r>
        <w:t xml:space="preserve">Impacts agronomiques</w:t>
      </w:r>
    </w:p>
    <w:p>
      <w:pPr>
        <w:pStyle w:val="FirstParagraph"/>
      </w:pPr>
      <w:r>
        <w:t xml:space="preserve">Il convient de garder à l’esprit qu’un OAD, s’il vise à réduire les traitements en période de faible risque, permet aussi et surtout de sécuriser la récolte en alertant sur les périodes où le risque est fort. L’usage d’un OAD permet d’anticiper pour une meilleure organisation des travaux et permet de respecter la réglementation grâce au suivi du calendrier de traitement.</w:t>
      </w:r>
    </w:p>
    <w:bookmarkEnd w:id="21"/>
    <w:bookmarkStart w:id="30" w:name="mise-en-œuvre"/>
    <w:p>
      <w:pPr>
        <w:pStyle w:val="Heading2"/>
      </w:pPr>
      <w:r>
        <w:t xml:space="preserve">Mise en œuvre</w:t>
      </w:r>
    </w:p>
    <w:bookmarkStart w:id="27" w:name="quel-oad-choisir"/>
    <w:p>
      <w:pPr>
        <w:pStyle w:val="Heading3"/>
      </w:pPr>
      <w:r>
        <w:t xml:space="preserve">Quel OAD choisir ?</w:t>
      </w:r>
    </w:p>
    <w:p>
      <w:pPr>
        <w:pStyle w:val="FirstParagraph"/>
      </w:pPr>
      <w:r>
        <w:t xml:space="preserve">Un OAD doit nécessairement intégrer un ou des modèles épidémiologiques qui modélisent le développement des maladies à partir de données météo, passées et prévisionnelles.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17702"/>
                  <wp:effectExtent b="0" l="0" r="0" t="0"/>
                  <wp:docPr descr="" title="" id="23" name="Picture"/>
                  <a:graphic>
                    <a:graphicData uri="http://schemas.openxmlformats.org/drawingml/2006/picture">
                      <pic:pic>
                        <pic:nvPicPr>
                          <pic:cNvPr descr="images/L9_decitrait.png" id="24" name="Picture"/>
                          <pic:cNvPicPr>
                            <a:picLocks noChangeArrowheads="1" noChangeAspect="1"/>
                          </pic:cNvPicPr>
                        </pic:nvPicPr>
                        <pic:blipFill>
                          <a:blip r:embed="rId22"/>
                          <a:stretch>
                            <a:fillRect/>
                          </a:stretch>
                        </pic:blipFill>
                        <pic:spPr bwMode="auto">
                          <a:xfrm>
                            <a:off x="0" y="0"/>
                            <a:ext cx="5334000" cy="2617702"/>
                          </a:xfrm>
                          <a:prstGeom prst="rect">
                            <a:avLst/>
                          </a:prstGeom>
                          <a:noFill/>
                          <a:ln w="9525">
                            <a:noFill/>
                            <a:headEnd/>
                            <a:tailEnd/>
                          </a:ln>
                        </pic:spPr>
                      </pic:pic>
                    </a:graphicData>
                  </a:graphic>
                </wp:inline>
              </w:drawing>
            </w:r>
          </w:p>
          <w:p>
            <w:pPr>
              <w:jc w:val="center"/>
            </w:pPr>
            <w:pPr>
              <w:jc w:val="start"/>
              <w:spacing w:before="200"/>
              <w:pStyle w:val="ImageCaption"/>
            </w:pPr>
            <w:r>
              <w:t xml:space="preserve">Sortie de l’OAD Decitrait précisant les périodes de risques</w:t>
            </w:r>
          </w:p>
        </w:tc>
      </w:tr>
    </w:tbl>
    <w:p>
      <w:pPr>
        <w:pStyle w:val="BodyText"/>
      </w:pPr>
      <w:r>
        <w:t xml:space="preserve">Pour optimiser la réduction des intrants, préférez les OAD intégrant des règles de modulation de la dose des produits phytosanitaires en cours de saison. Le Vinopôle Bordeaux Aquitaine propose un tableau récapitulatif des différents outils sur</w:t>
      </w:r>
      <w:r>
        <w:t xml:space="preserve"> </w:t>
      </w:r>
      <w:hyperlink r:id="rId25">
        <w:r>
          <w:rPr>
            <w:rStyle w:val="Hyperlink"/>
          </w:rPr>
          <w:t xml:space="preserve">cette page</w:t>
        </w:r>
      </w:hyperlink>
      <w:r>
        <w:t xml:space="preserve"> </w:t>
      </w:r>
      <w:r>
        <w:t xml:space="preserve">et présente l’OAD dédié à la protection de la vigne développé par l’IFV</w:t>
      </w:r>
      <w:r>
        <w:t xml:space="preserve"> </w:t>
      </w:r>
      <w:hyperlink r:id="rId26">
        <w:r>
          <w:rPr>
            <w:rStyle w:val="Hyperlink"/>
          </w:rPr>
          <w:t xml:space="preserve">ici</w:t>
        </w:r>
      </w:hyperlink>
      <w:r>
        <w:t xml:space="preserve">.</w:t>
      </w:r>
    </w:p>
    <w:bookmarkEnd w:id="27"/>
    <w:bookmarkStart w:id="28" w:name="les-limites-dutilisation-des-oad"/>
    <w:p>
      <w:pPr>
        <w:pStyle w:val="Heading3"/>
      </w:pPr>
      <w:r>
        <w:t xml:space="preserve">Les limites d’utilisation des OAD</w:t>
      </w:r>
    </w:p>
    <w:p>
      <w:pPr>
        <w:pStyle w:val="FirstParagraph"/>
      </w:pPr>
      <w:r>
        <w:t xml:space="preserve">Les OAD s’appuient sur des modèles épidémiologiques, qui ne sont que des estimations de la réalité et comportent une marge d’erreur. La fiabilité des modèles est à la fois dépendante de leur performance intrinsèque mais également de la qualité des données météorologiques passées et des prévisions météo à venir. Certains OAD nécessitent une station météo installée à proximité, d’autres s’appuient sur des données météo dématérialisées (Météo France, Weather Measure…). Compléter avec des observations terrain pour sécuriser et corriger si besoin l’OAD :</w:t>
      </w:r>
    </w:p>
    <w:p>
      <w:pPr>
        <w:numPr>
          <w:ilvl w:val="0"/>
          <w:numId w:val="1001"/>
        </w:numPr>
      </w:pPr>
      <w:r>
        <w:t xml:space="preserve">Pluviomètre pour la pluie en cas de données météorologiques modélisées (attention à l’entretien),</w:t>
      </w:r>
    </w:p>
    <w:p>
      <w:pPr>
        <w:numPr>
          <w:ilvl w:val="0"/>
          <w:numId w:val="1001"/>
        </w:numPr>
      </w:pPr>
      <w:r>
        <w:t xml:space="preserve">Observations sur la parcelle : stades phénologiques, état sanitaire</w:t>
      </w:r>
    </w:p>
    <w:p>
      <w:pPr>
        <w:pStyle w:val="FirstParagraph"/>
      </w:pPr>
      <w:r>
        <w:t xml:space="preserve">Pour les prévisions météo, comparez les sorties de plusieurs modèles météo pour éviter de prendre trop de risques.</w:t>
      </w:r>
    </w:p>
    <w:bookmarkEnd w:id="28"/>
    <w:bookmarkStart w:id="29" w:name="quel-coût"/>
    <w:p>
      <w:pPr>
        <w:pStyle w:val="Heading3"/>
      </w:pPr>
      <w:r>
        <w:t xml:space="preserve">Quel coût ?</w:t>
      </w:r>
    </w:p>
    <w:p>
      <w:pPr>
        <w:pStyle w:val="FirstParagraph"/>
      </w:pPr>
      <w:r>
        <w:t xml:space="preserve">Le coût d’un OAD varie entre 75 et 250€ par an (sans station météo), ce qui reste relativement faible au regard des coûts de production et des avantages que procurent ces outils. Certains OAD sont éligibles au CEPP.</w:t>
      </w:r>
    </w:p>
    <w:bookmarkEnd w:id="29"/>
    <w:bookmarkEnd w:id="30"/>
    <w:bookmarkStart w:id="33" w:name="pour-aller-plus-loin"/>
    <w:p>
      <w:pPr>
        <w:pStyle w:val="Heading2"/>
      </w:pPr>
      <w:r>
        <w:t xml:space="preserve">Pour aller plus loin</w:t>
      </w:r>
    </w:p>
    <w:p>
      <w:pPr>
        <w:pStyle w:val="FirstParagraph"/>
      </w:pPr>
      <w:r>
        <w:t xml:space="preserve">Penser à bien régler votre pulvérisateur pour réduire les doses en toute sécurité :</w:t>
      </w:r>
      <w:r>
        <w:t xml:space="preserve"> </w:t>
      </w:r>
      <w:hyperlink r:id="rId31">
        <w:r>
          <w:rPr>
            <w:rStyle w:val="Hyperlink"/>
          </w:rPr>
          <w:t xml:space="preserve">Optimiser sa voûte pneumatique</w:t>
        </w:r>
      </w:hyperlink>
    </w:p>
    <w:p>
      <w:pPr>
        <w:pStyle w:val="BodyText"/>
      </w:pPr>
      <w:r>
        <w:t xml:space="preserve">N’hésitez pas à changer pour un appareil plus performant !</w:t>
      </w:r>
      <w:r>
        <w:t xml:space="preserve"> </w:t>
      </w:r>
      <w:hyperlink r:id="rId32">
        <w:r>
          <w:rPr>
            <w:rStyle w:val="Hyperlink"/>
          </w:rPr>
          <w:t xml:space="preserve">Bien choisir son pulvé</w:t>
        </w:r>
      </w:hyperlink>
    </w:p>
    <w:bookmarkEnd w:id="33"/>
    <w:bookmarkStart w:id="36" w:name="ressources-complémentaires"/>
    <w:p>
      <w:pPr>
        <w:pStyle w:val="Heading2"/>
      </w:pPr>
      <w:r>
        <w:t xml:space="preserve">Ressources complémentaires</w:t>
      </w:r>
    </w:p>
    <w:p>
      <w:pPr>
        <w:numPr>
          <w:ilvl w:val="0"/>
          <w:numId w:val="1002"/>
        </w:numPr>
      </w:pPr>
      <w:hyperlink r:id="rId25">
        <w:r>
          <w:rPr>
            <w:rStyle w:val="Hyperlink"/>
          </w:rPr>
          <w:t xml:space="preserve">Fiche</w:t>
        </w:r>
      </w:hyperlink>
      <w:r>
        <w:t xml:space="preserve"> </w:t>
      </w:r>
      <w:r>
        <w:t xml:space="preserve">sur les OAD du Vinopôle Bordeaux-Aquitaine</w:t>
      </w:r>
    </w:p>
    <w:p>
      <w:pPr>
        <w:numPr>
          <w:ilvl w:val="0"/>
          <w:numId w:val="1002"/>
        </w:numPr>
      </w:pPr>
      <w:hyperlink r:id="rId34">
        <w:r>
          <w:rPr>
            <w:rStyle w:val="Hyperlink"/>
          </w:rPr>
          <w:t xml:space="preserve">Focus</w:t>
        </w:r>
      </w:hyperlink>
      <w:r>
        <w:t xml:space="preserve"> </w:t>
      </w:r>
      <w:r>
        <w:t xml:space="preserve">sur les outils pour réduire le nombre de traitements par le Vinopôle Bordeaux-Aquitaine</w:t>
      </w:r>
    </w:p>
    <w:p>
      <w:pPr>
        <w:numPr>
          <w:ilvl w:val="0"/>
          <w:numId w:val="1002"/>
        </w:numPr>
      </w:pPr>
      <w:r>
        <w:t xml:space="preserve">Les</w:t>
      </w:r>
      <w:r>
        <w:t xml:space="preserve"> </w:t>
      </w:r>
      <w:hyperlink r:id="rId35">
        <w:r>
          <w:rPr>
            <w:rStyle w:val="Hyperlink"/>
          </w:rPr>
          <w:t xml:space="preserve">OAD disponibles</w:t>
        </w:r>
      </w:hyperlink>
      <w:r>
        <w:t xml:space="preserve"> </w:t>
      </w:r>
      <w:r>
        <w:t xml:space="preserve">sur EcophytoPIC</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_rels/footnotes.xml.rels><?xml version="1.0" encoding="UTF-8"?><Relationships xmlns="http://schemas.openxmlformats.org/package/2006/relationships"><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un outil d’aide à la décision pour la protection sanitaire</dc:title>
  <dc:creator/>
  <dc:language>fr</dc:language>
  <cp:keywords/>
  <dcterms:created xsi:type="dcterms:W3CDTF">2023-12-07T10:20:43Z</dcterms:created>
  <dcterms:modified xsi:type="dcterms:W3CDTF">2023-12-07T10:20:43Z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