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DataFlow Inc.</w:t>
      </w:r>
    </w:p>
    <w:p>
      <w:pPr>
        <w:spacing w:after="40" w:before="120"/>
        <w:jc w:val="center"/>
      </w:pPr>
      <w:r>
        <w:rPr>
          <w:b/>
          <w:bCs/>
          <w:color w:val="2E74B5"/>
          <w:sz w:val="34"/>
          <w:szCs w:val="34"/>
        </w:rPr>
        <w:t xml:space="preserve">Centralized Data Platform</w:t>
      </w:r>
    </w:p>
    <w:p>
      <w:pPr>
        <w:spacing w:after="500"/>
        <w:jc w:val="center"/>
      </w:pPr>
      <w:r>
        <w:rPr>
          <w:i/>
          <w:iCs/>
          <w:color w:val="595959"/>
          <w:sz w:val="22"/>
          <w:szCs w:val="22"/>
        </w:rPr>
        <w:t xml:space="preserve">Medallion Architecture Data Engineering Pipeline — Project Documentation</w:t>
      </w:r>
    </w:p>
    <w:p>
      <w:pPr>
        <w:spacing w:after="60"/>
        <w:jc w:val="center"/>
      </w:pPr>
      <w:r>
        <w:rPr>
          <w:color w:val="595959"/>
          <w:sz w:val="20"/>
          <w:szCs w:val="20"/>
        </w:rPr>
        <w:t xml:space="preserve">Platform: Databricks (PySpark, Delta Lake, Spark SQL)</w:t>
      </w:r>
    </w:p>
    <w:p>
      <w:pPr>
        <w:spacing w:after="60"/>
        <w:jc w:val="center"/>
      </w:pPr>
      <w:r>
        <w:rPr>
          <w:color w:val="595959"/>
          <w:sz w:val="20"/>
          <w:szCs w:val="20"/>
        </w:rPr>
        <w:t xml:space="preserve">Architecture: Bronze → Silver → Gold → Analytics</w:t>
      </w:r>
    </w:p>
    <w:p>
      <w:pPr>
        <w:spacing w:after="60"/>
        <w:jc w:val="center"/>
      </w:pPr>
      <w:r>
        <w:rPr>
          <w:color w:val="595959"/>
          <w:sz w:val="20"/>
          <w:szCs w:val="20"/>
        </w:rPr>
        <w:t xml:space="preserve">Dataset: Olist Brazilian E-Commerce (CSV / JSON)</w:t>
      </w:r>
    </w:p>
    <w:p>
      <w:r>
        <w:br w:type="page"/>
      </w:r>
    </w:p>
    <w:p>
      <w:pPr>
        <w:pStyle w:val="Heading1"/>
        <w:pBdr>
          <w:bottom w:val="single" w:color="2E74B5" w:sz="6" w:space="4"/>
        </w:pBdr>
        <w:spacing w:after="160" w:before="360"/>
      </w:pPr>
      <w:r>
        <w:rPr>
          <w:b/>
          <w:bCs/>
          <w:color w:val="1F3864"/>
          <w:sz w:val="30"/>
          <w:szCs w:val="30"/>
        </w:rPr>
        <w:t xml:space="preserve">1. Problem Statement &amp; Objective</w:t>
      </w:r>
    </w:p>
    <w:p>
      <w:pPr>
        <w:spacing w:after="160" w:line="276"/>
      </w:pPr>
      <w:r>
        <w:rPr>
          <w:sz w:val="21"/>
          <w:szCs w:val="21"/>
        </w:rPr>
        <w:t xml:space="preserve">DataFlow Inc. is a growing data-driven organization whose data is scattered across raw CSV and JSON files — transactions, logs, and product/customer data — with no central place to analyze it. The organization cannot detect schema changes or data drift, has no systematic data quality process, and does not maintain historical records, so changes over time cannot be tracked.</w:t>
      </w:r>
    </w:p>
    <w:p>
      <w:pPr>
        <w:spacing w:after="160" w:line="276"/>
      </w:pPr>
      <w:r>
        <w:rPr>
          <w:sz w:val="21"/>
          <w:szCs w:val="21"/>
        </w:rPr>
        <w:t xml:space="preserve">The objective of this project is to design and build a centralized data platform that:</w:t>
      </w:r>
    </w:p>
    <w:p>
      <w:pPr>
        <w:pStyle w:val="ListParagraph"/>
        <w:numPr>
          <w:ilvl w:val="0"/>
          <w:numId w:val="2"/>
        </w:numPr>
        <w:spacing w:after="80" w:line="264"/>
      </w:pPr>
      <w:r>
        <w:rPr>
          <w:sz w:val="21"/>
          <w:szCs w:val="21"/>
        </w:rPr>
        <w:t xml:space="preserve">Ingests raw, scattered CSV/JSON data into a single managed location.</w:t>
      </w:r>
    </w:p>
    <w:p>
      <w:pPr>
        <w:pStyle w:val="ListParagraph"/>
        <w:numPr>
          <w:ilvl w:val="0"/>
          <w:numId w:val="2"/>
        </w:numPr>
        <w:spacing w:after="80" w:line="264"/>
      </w:pPr>
      <w:r>
        <w:rPr>
          <w:sz w:val="21"/>
          <w:szCs w:val="21"/>
        </w:rPr>
        <w:t xml:space="preserve">Cleans and standardizes the data (handles duplicates, nulls, and inconsistent formats).</w:t>
      </w:r>
    </w:p>
    <w:p>
      <w:pPr>
        <w:pStyle w:val="ListParagraph"/>
        <w:numPr>
          <w:ilvl w:val="0"/>
          <w:numId w:val="2"/>
        </w:numPr>
        <w:spacing w:after="80" w:line="264"/>
      </w:pPr>
      <w:r>
        <w:rPr>
          <w:sz w:val="21"/>
          <w:szCs w:val="21"/>
        </w:rPr>
        <w:t xml:space="preserve">Detects schema changes and data drift automatically.</w:t>
      </w:r>
    </w:p>
    <w:p>
      <w:pPr>
        <w:pStyle w:val="ListParagraph"/>
        <w:numPr>
          <w:ilvl w:val="0"/>
          <w:numId w:val="2"/>
        </w:numPr>
        <w:spacing w:after="80" w:line="264"/>
      </w:pPr>
      <w:r>
        <w:rPr>
          <w:sz w:val="21"/>
          <w:szCs w:val="21"/>
        </w:rPr>
        <w:t xml:space="preserve">Maintains historical records of changes (not just the latest snapshot).</w:t>
      </w:r>
    </w:p>
    <w:p>
      <w:pPr>
        <w:pStyle w:val="ListParagraph"/>
        <w:numPr>
          <w:ilvl w:val="0"/>
          <w:numId w:val="2"/>
        </w:numPr>
        <w:spacing w:after="80" w:line="264"/>
      </w:pPr>
      <w:r>
        <w:rPr>
          <w:sz w:val="21"/>
          <w:szCs w:val="21"/>
        </w:rPr>
        <w:t xml:space="preserve">Produces reliable, analysis-ready data for business reporting.</w:t>
      </w:r>
    </w:p>
    <w:p>
      <w:pPr>
        <w:spacing w:after="160" w:line="276"/>
      </w:pPr>
      <w:r>
        <w:rPr>
          <w:sz w:val="21"/>
          <w:szCs w:val="21"/>
        </w:rPr>
        <w:t xml:space="preserve">The solution follows the Medallion Architecture pattern (Bronze → Silver → Gold), implemented on Databricks using PySpark, Spark SQL, and Delta Lake, and is orchestrated as a single automated pipeline.</w:t>
      </w:r>
    </w:p>
    <w:p>
      <w:pPr>
        <w:pStyle w:val="Heading1"/>
        <w:pBdr>
          <w:bottom w:val="single" w:color="2E74B5" w:sz="6" w:space="4"/>
        </w:pBdr>
        <w:spacing w:after="160" w:before="360"/>
      </w:pPr>
      <w:r>
        <w:rPr>
          <w:b/>
          <w:bCs/>
          <w:color w:val="1F3864"/>
          <w:sz w:val="30"/>
          <w:szCs w:val="30"/>
        </w:rPr>
        <w:t xml:space="preserve">2. Architecture Overview</w:t>
      </w:r>
    </w:p>
    <w:p>
      <w:pPr>
        <w:spacing w:after="160" w:line="276"/>
      </w:pPr>
      <w:r>
        <w:rPr>
          <w:sz w:val="21"/>
          <w:szCs w:val="21"/>
        </w:rPr>
        <w:t xml:space="preserve">The platform is implemented as four notebooks executed in sequence by a single orchestrator notebook. Each layer has a clearly separated responsibility, consistent with the Medallion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shd w:fill="1F3864" w:val="clear"/>
            <w:tcMar>
              <w:top w:type="dxa" w:w="80"/>
              <w:left w:type="dxa" w:w="100"/>
              <w:bottom w:type="dxa" w:w="80"/>
              <w:right w:type="dxa" w:w="100"/>
            </w:tcMar>
          </w:tcPr>
          <w:p>
            <w:pPr>
              <w:spacing w:after="40"/>
            </w:pPr>
            <w:r>
              <w:rPr>
                <w:b/>
                <w:bCs/>
                <w:color w:val="FFFFFF"/>
                <w:sz w:val="19"/>
                <w:szCs w:val="19"/>
              </w:rPr>
              <w:t xml:space="preserve">Layer / Notebook</w:t>
            </w:r>
          </w:p>
        </w:tc>
        <w:tc>
          <w:tcPr>
            <w:tcW w:type="dxa" w:w="6919"/>
            <w:shd w:fill="1F3864" w:val="clear"/>
            <w:tcMar>
              <w:top w:type="dxa" w:w="80"/>
              <w:left w:type="dxa" w:w="100"/>
              <w:bottom w:type="dxa" w:w="80"/>
              <w:right w:type="dxa" w:w="100"/>
            </w:tcMar>
          </w:tcPr>
          <w:p>
            <w:pPr>
              <w:spacing w:after="40"/>
            </w:pPr>
            <w:r>
              <w:rPr>
                <w:b/>
                <w:bCs/>
                <w:color w:val="FFFFFF"/>
                <w:sz w:val="19"/>
                <w:szCs w:val="19"/>
              </w:rPr>
              <w:t xml:space="preserve">Responsibility</w:t>
            </w:r>
          </w:p>
        </w:tc>
      </w:tr>
      <w:tr>
        <w:tc>
          <w:tcPr>
            <w:tcW w:type="dxa" w:w="2431"/>
            <w:tcMar>
              <w:top w:type="dxa" w:w="70"/>
              <w:left w:type="dxa" w:w="100"/>
              <w:bottom w:type="dxa" w:w="70"/>
              <w:right w:type="dxa" w:w="100"/>
            </w:tcMar>
          </w:tcPr>
          <w:p>
            <w:pPr>
              <w:spacing w:after="40"/>
            </w:pPr>
            <w:r>
              <w:rPr>
                <w:sz w:val="19"/>
                <w:szCs w:val="19"/>
              </w:rPr>
              <w:t xml:space="preserve">1RunPipeLine</w:t>
            </w:r>
          </w:p>
        </w:tc>
        <w:tc>
          <w:tcPr>
            <w:tcW w:type="dxa" w:w="6919"/>
            <w:tcMar>
              <w:top w:type="dxa" w:w="70"/>
              <w:left w:type="dxa" w:w="100"/>
              <w:bottom w:type="dxa" w:w="70"/>
              <w:right w:type="dxa" w:w="100"/>
            </w:tcMar>
          </w:tcPr>
          <w:p>
            <w:pPr>
              <w:spacing w:after="40"/>
            </w:pPr>
            <w:r>
              <w:rPr>
                <w:sz w:val="19"/>
                <w:szCs w:val="19"/>
              </w:rPr>
              <w:t xml:space="preserve">Orchestrates the end-to-end run: calls Bronze → Silver → Gold → Analytics in sequence using dbutils.notebook.run().</w:t>
            </w:r>
          </w:p>
        </w:tc>
      </w:tr>
      <w:tr>
        <w:tc>
          <w:tcPr>
            <w:tcW w:type="dxa" w:w="2431"/>
            <w:tcMar>
              <w:top w:type="dxa" w:w="70"/>
              <w:left w:type="dxa" w:w="100"/>
              <w:bottom w:type="dxa" w:w="70"/>
              <w:right w:type="dxa" w:w="100"/>
            </w:tcMar>
          </w:tcPr>
          <w:p>
            <w:pPr>
              <w:spacing w:after="40"/>
            </w:pPr>
            <w:r>
              <w:rPr>
                <w:sz w:val="19"/>
                <w:szCs w:val="19"/>
              </w:rPr>
              <w:t xml:space="preserve">2Bronze</w:t>
            </w:r>
          </w:p>
        </w:tc>
        <w:tc>
          <w:tcPr>
            <w:tcW w:type="dxa" w:w="6919"/>
            <w:tcMar>
              <w:top w:type="dxa" w:w="70"/>
              <w:left w:type="dxa" w:w="100"/>
              <w:bottom w:type="dxa" w:w="70"/>
              <w:right w:type="dxa" w:w="100"/>
            </w:tcMar>
          </w:tcPr>
          <w:p>
            <w:pPr>
              <w:spacing w:after="40"/>
            </w:pPr>
            <w:r>
              <w:rPr>
                <w:sz w:val="19"/>
                <w:szCs w:val="19"/>
              </w:rPr>
              <w:t xml:space="preserve">Raw ingestion — loads every CSV/JSON file from the raw volume as-is, tags it with an ingestion timestamp, and persists it as Delta.</w:t>
            </w:r>
          </w:p>
        </w:tc>
      </w:tr>
      <w:tr>
        <w:tc>
          <w:tcPr>
            <w:tcW w:type="dxa" w:w="2431"/>
            <w:tcMar>
              <w:top w:type="dxa" w:w="70"/>
              <w:left w:type="dxa" w:w="100"/>
              <w:bottom w:type="dxa" w:w="70"/>
              <w:right w:type="dxa" w:w="100"/>
            </w:tcMar>
          </w:tcPr>
          <w:p>
            <w:pPr>
              <w:spacing w:after="40"/>
            </w:pPr>
            <w:r>
              <w:rPr>
                <w:sz w:val="19"/>
                <w:szCs w:val="19"/>
              </w:rPr>
              <w:t xml:space="preserve">3Silver</w:t>
            </w:r>
          </w:p>
        </w:tc>
        <w:tc>
          <w:tcPr>
            <w:tcW w:type="dxa" w:w="6919"/>
            <w:tcMar>
              <w:top w:type="dxa" w:w="70"/>
              <w:left w:type="dxa" w:w="100"/>
              <w:bottom w:type="dxa" w:w="70"/>
              <w:right w:type="dxa" w:w="100"/>
            </w:tcMar>
          </w:tcPr>
          <w:p>
            <w:pPr>
              <w:spacing w:after="40"/>
            </w:pPr>
            <w:r>
              <w:rPr>
                <w:sz w:val="19"/>
                <w:szCs w:val="19"/>
              </w:rPr>
              <w:t xml:space="preserve">Cleaning, validation, schema-drift detection, and historical tracking (SCD Type 2) on top of Bronze.</w:t>
            </w:r>
          </w:p>
        </w:tc>
      </w:tr>
      <w:tr>
        <w:tc>
          <w:tcPr>
            <w:tcW w:type="dxa" w:w="2431"/>
            <w:tcMar>
              <w:top w:type="dxa" w:w="70"/>
              <w:left w:type="dxa" w:w="100"/>
              <w:bottom w:type="dxa" w:w="70"/>
              <w:right w:type="dxa" w:w="100"/>
            </w:tcMar>
          </w:tcPr>
          <w:p>
            <w:pPr>
              <w:spacing w:after="40"/>
            </w:pPr>
            <w:r>
              <w:rPr>
                <w:sz w:val="19"/>
                <w:szCs w:val="19"/>
              </w:rPr>
              <w:t xml:space="preserve">4GoldSql</w:t>
            </w:r>
          </w:p>
        </w:tc>
        <w:tc>
          <w:tcPr>
            <w:tcW w:type="dxa" w:w="6919"/>
            <w:tcMar>
              <w:top w:type="dxa" w:w="70"/>
              <w:left w:type="dxa" w:w="100"/>
              <w:bottom w:type="dxa" w:w="70"/>
              <w:right w:type="dxa" w:w="100"/>
            </w:tcMar>
          </w:tcPr>
          <w:p>
            <w:pPr>
              <w:spacing w:after="40"/>
            </w:pPr>
            <w:r>
              <w:rPr>
                <w:sz w:val="19"/>
                <w:szCs w:val="19"/>
              </w:rPr>
              <w:t xml:space="preserve">Dimensional modeling — builds business-ready fact and dimension tables from Silver, using Spark SQL (joins, CTEs, window functions).</w:t>
            </w:r>
          </w:p>
        </w:tc>
      </w:tr>
      <w:tr>
        <w:tc>
          <w:tcPr>
            <w:tcW w:type="dxa" w:w="2431"/>
            <w:tcMar>
              <w:top w:type="dxa" w:w="70"/>
              <w:left w:type="dxa" w:w="100"/>
              <w:bottom w:type="dxa" w:w="70"/>
              <w:right w:type="dxa" w:w="100"/>
            </w:tcMar>
          </w:tcPr>
          <w:p>
            <w:pPr>
              <w:spacing w:after="40"/>
            </w:pPr>
            <w:r>
              <w:rPr>
                <w:sz w:val="19"/>
                <w:szCs w:val="19"/>
              </w:rPr>
              <w:t xml:space="preserve">5Analytics_SQL</w:t>
            </w:r>
          </w:p>
        </w:tc>
        <w:tc>
          <w:tcPr>
            <w:tcW w:type="dxa" w:w="6919"/>
            <w:tcMar>
              <w:top w:type="dxa" w:w="70"/>
              <w:left w:type="dxa" w:w="100"/>
              <w:bottom w:type="dxa" w:w="70"/>
              <w:right w:type="dxa" w:w="100"/>
            </w:tcMar>
          </w:tcPr>
          <w:p>
            <w:pPr>
              <w:spacing w:after="40"/>
            </w:pPr>
            <w:r>
              <w:rPr>
                <w:sz w:val="19"/>
                <w:szCs w:val="19"/>
              </w:rPr>
              <w:t xml:space="preserve">Business-facing analytical queries on top of the Gold layer, answering specific business questions using SQL (CTEs, window functions, CASE logic).</w:t>
            </w:r>
          </w:p>
        </w:tc>
      </w:tr>
    </w:tbl>
    <w:p>
      <w:pPr>
        <w:spacing w:before="200"/>
      </w:pPr>
    </w:p>
    <w:p>
      <w:pPr>
        <w:pBdr>
          <w:top w:val="single" w:color="DCE6F1" w:sz="2" w:space="4"/>
          <w:bottom w:val="single" w:color="DCE6F1" w:sz="2" w:space="4"/>
          <w:left w:val="single" w:color="2E74B5" w:sz="24" w:space="8"/>
          <w:right w:val="single" w:color="DCE6F1" w:sz="2" w:space="4"/>
        </w:pBdr>
        <w:shd w:fill="DCE6F1" w:val="clear"/>
        <w:spacing w:after="200" w:before="120"/>
      </w:pPr>
      <w:r>
        <w:rPr>
          <w:b/>
          <w:bCs/>
          <w:color w:val="1F3864"/>
          <w:sz w:val="21"/>
          <w:szCs w:val="21"/>
        </w:rPr>
        <w:t xml:space="preserve">Note:  </w:t>
      </w:r>
      <w:r>
        <w:rPr>
          <w:sz w:val="21"/>
          <w:szCs w:val="21"/>
        </w:rPr>
        <w:t xml:space="preserve">The original problem statement asks for a platform that ingests, cleans, detects change, and retains history — i.e. Bronze and Silver. It does not specify a Gold layer or any analytical requirements. Both the Gold layer's data model and the Analytics layer's business questions were designed independently as part of this implementation, to demonstrate that the cleaned/historized data is actually usable for reporting. These are called out explicitly in Sections 5 and 6.</w:t>
      </w:r>
    </w:p>
    <w:p>
      <w:pPr>
        <w:pStyle w:val="Heading1"/>
        <w:pBdr>
          <w:bottom w:val="single" w:color="2E74B5" w:sz="6" w:space="4"/>
        </w:pBdr>
        <w:spacing w:after="160" w:before="360"/>
      </w:pPr>
      <w:r>
        <w:rPr>
          <w:b/>
          <w:bCs/>
          <w:color w:val="1F3864"/>
          <w:sz w:val="30"/>
          <w:szCs w:val="30"/>
        </w:rPr>
        <w:t xml:space="preserve">3. Bronze Layer — Raw Ingestion</w:t>
      </w:r>
    </w:p>
    <w:p>
      <w:pPr>
        <w:spacing w:after="160" w:line="276"/>
      </w:pPr>
      <w:r>
        <w:rPr>
          <w:sz w:val="21"/>
          <w:szCs w:val="21"/>
        </w:rPr>
        <w:t xml:space="preserve">Implemented in 2Bronze. This layer is a faithful, unmodified copy of the source data, so the original files are always recoverable even after downstream cleaning.</w:t>
      </w:r>
    </w:p>
    <w:p>
      <w:pPr>
        <w:pStyle w:val="Heading2"/>
        <w:spacing w:after="120" w:before="260"/>
      </w:pPr>
      <w:r>
        <w:rPr>
          <w:b/>
          <w:bCs/>
          <w:color w:val="2E74B5"/>
          <w:sz w:val="24"/>
          <w:szCs w:val="24"/>
        </w:rPr>
        <w:t xml:space="preserve">What it does</w:t>
      </w:r>
    </w:p>
    <w:p>
      <w:pPr>
        <w:pStyle w:val="ListParagraph"/>
        <w:numPr>
          <w:ilvl w:val="0"/>
          <w:numId w:val="2"/>
        </w:numPr>
        <w:spacing w:after="80" w:line="264"/>
      </w:pPr>
      <w:r>
        <w:rPr>
          <w:sz w:val="21"/>
          <w:szCs w:val="21"/>
        </w:rPr>
        <w:t xml:space="preserve">Scans the raw volume and picks up every file automatically, regardless of name (no hardcoded file list).</w:t>
      </w:r>
    </w:p>
    <w:p>
      <w:pPr>
        <w:pStyle w:val="ListParagraph"/>
        <w:numPr>
          <w:ilvl w:val="0"/>
          <w:numId w:val="2"/>
        </w:numPr>
        <w:spacing w:after="80" w:line="264"/>
      </w:pPr>
      <w:r>
        <w:rPr>
          <w:sz w:val="21"/>
          <w:szCs w:val="21"/>
        </w:rPr>
        <w:t xml:space="preserve">Reads .csv files with header and inferSchema enabled; reads .json files directly via Spark's native JSON reader.</w:t>
      </w:r>
    </w:p>
    <w:p>
      <w:pPr>
        <w:pStyle w:val="ListParagraph"/>
        <w:numPr>
          <w:ilvl w:val="0"/>
          <w:numId w:val="2"/>
        </w:numPr>
        <w:spacing w:after="80" w:line="264"/>
      </w:pPr>
      <w:r>
        <w:rPr>
          <w:sz w:val="21"/>
          <w:szCs w:val="21"/>
        </w:rPr>
        <w:t xml:space="preserve">Adds an ingestionTime column (current_timestamp()) to every table, so each row can be traced back to when it entered the platform.</w:t>
      </w:r>
    </w:p>
    <w:p>
      <w:pPr>
        <w:pStyle w:val="ListParagraph"/>
        <w:numPr>
          <w:ilvl w:val="0"/>
          <w:numId w:val="2"/>
        </w:numPr>
        <w:spacing w:after="80" w:line="264"/>
      </w:pPr>
      <w:r>
        <w:rPr>
          <w:sz w:val="21"/>
          <w:szCs w:val="21"/>
        </w:rPr>
        <w:t xml:space="preserve">Writes every table to the Bronze Delta path using mode("overwrite"), giving each source table its own Delta location.</w:t>
      </w:r>
    </w:p>
    <w:p>
      <w:pPr>
        <w:pStyle w:val="Heading2"/>
        <w:spacing w:after="120" w:before="260"/>
      </w:pPr>
      <w:r>
        <w:rPr>
          <w:b/>
          <w:bCs/>
          <w:color w:val="2E74B5"/>
          <w:sz w:val="24"/>
          <w:szCs w:val="24"/>
        </w:rPr>
        <w:t xml:space="preserve">Design rationale</w:t>
      </w:r>
    </w:p>
    <w:p>
      <w:pPr>
        <w:spacing w:after="160" w:line="276"/>
      </w:pPr>
      <w:r>
        <w:rPr>
          <w:sz w:val="21"/>
          <w:szCs w:val="21"/>
        </w:rPr>
        <w:t xml:space="preserve">Looping over the directory listing rather than hardcoding table names means new source files dropped into the raw volume are picked up automatically on the next run — directly addressing the “scattered files, no proper system” part of the problem statement.</w:t>
      </w:r>
    </w:p>
    <w:p>
      <w:pPr>
        <w:pStyle w:val="Heading1"/>
        <w:pBdr>
          <w:bottom w:val="single" w:color="2E74B5" w:sz="6" w:space="4"/>
        </w:pBdr>
        <w:spacing w:after="160" w:before="360"/>
      </w:pPr>
      <w:r>
        <w:rPr>
          <w:b/>
          <w:bCs/>
          <w:color w:val="1F3864"/>
          <w:sz w:val="30"/>
          <w:szCs w:val="30"/>
        </w:rPr>
        <w:t xml:space="preserve">4. Silver Layer — Cleaning, Drift Detection &amp; History</w:t>
      </w:r>
    </w:p>
    <w:p>
      <w:pPr>
        <w:spacing w:after="160" w:line="276"/>
      </w:pPr>
      <w:r>
        <w:rPr>
          <w:sz w:val="21"/>
          <w:szCs w:val="21"/>
        </w:rPr>
        <w:t xml:space="preserve">Implemented in 3Silver. This is the core of the problem statement: cleaning, schema-change detection, and historical tracking. It is built incrementally as a set of reusable functions applied to every Bronze table.</w:t>
      </w:r>
    </w:p>
    <w:p>
      <w:pPr>
        <w:pStyle w:val="Heading2"/>
        <w:spacing w:after="120" w:before="260"/>
      </w:pPr>
      <w:r>
        <w:rPr>
          <w:b/>
          <w:bCs/>
          <w:color w:val="2E74B5"/>
          <w:sz w:val="24"/>
          <w:szCs w:val="24"/>
        </w:rPr>
        <w:t xml:space="preserve">4.1 Data cleaning</w:t>
      </w:r>
    </w:p>
    <w:p>
      <w:pPr>
        <w:pStyle w:val="ListParagraph"/>
        <w:numPr>
          <w:ilvl w:val="0"/>
          <w:numId w:val="2"/>
        </w:numPr>
        <w:spacing w:after="80" w:line="264"/>
      </w:pPr>
      <w:r>
        <w:rPr>
          <w:sz w:val="21"/>
          <w:szCs w:val="21"/>
        </w:rPr>
        <w:t xml:space="preserve">standardizeColumns() — trims whitespace from column names to prevent silent join/lookup failures caused by formatting inconsistencies.</w:t>
      </w:r>
    </w:p>
    <w:p>
      <w:pPr>
        <w:pStyle w:val="ListParagraph"/>
        <w:numPr>
          <w:ilvl w:val="0"/>
          <w:numId w:val="2"/>
        </w:numPr>
        <w:spacing w:after="80" w:line="264"/>
      </w:pPr>
      <w:r>
        <w:rPr>
          <w:sz w:val="21"/>
          <w:szCs w:val="21"/>
        </w:rPr>
        <w:t xml:space="preserve">removeDuplicates() — drops fully duplicate rows.</w:t>
      </w:r>
    </w:p>
    <w:p>
      <w:pPr>
        <w:pStyle w:val="ListParagraph"/>
        <w:numPr>
          <w:ilvl w:val="0"/>
          <w:numId w:val="2"/>
        </w:numPr>
        <w:spacing w:after="80" w:line="264"/>
      </w:pPr>
      <w:r>
        <w:rPr>
          <w:sz w:val="21"/>
          <w:szCs w:val="21"/>
        </w:rPr>
        <w:t xml:space="preserve">handleNulls() — drops rows missing values in table-specific required key columns (e.g. customer_id for customers, order_id + customer_id for orders), so downstream joins never break on missing keys.</w:t>
      </w:r>
    </w:p>
    <w:p>
      <w:pPr>
        <w:pStyle w:val="Heading2"/>
        <w:spacing w:after="120" w:before="260"/>
      </w:pPr>
      <w:r>
        <w:rPr>
          <w:b/>
          <w:bCs/>
          <w:color w:val="2E74B5"/>
          <w:sz w:val="24"/>
          <w:szCs w:val="24"/>
        </w:rPr>
        <w:t xml:space="preserve">4.2 Schema drift detection</w:t>
      </w:r>
    </w:p>
    <w:p>
      <w:pPr>
        <w:spacing w:after="160" w:line="276"/>
      </w:pPr>
      <w:r>
        <w:rPr>
          <w:sz w:val="21"/>
          <w:szCs w:val="21"/>
        </w:rPr>
        <w:t xml:space="preserve">A compareSchema() function compares the incoming batch's columns against the existing Silver table's columns and reports both newly added and removed columns. This directly answers the requirement that “the team cannot detect schema changes” — every load now surfaces exactly what changed in the structure of the source data.</w:t>
      </w:r>
    </w:p>
    <w:p>
      <w:pPr>
        <w:pStyle w:val="Heading2"/>
        <w:spacing w:after="120" w:before="260"/>
      </w:pPr>
      <w:r>
        <w:rPr>
          <w:b/>
          <w:bCs/>
          <w:color w:val="2E74B5"/>
          <w:sz w:val="24"/>
          <w:szCs w:val="24"/>
        </w:rPr>
        <w:t xml:space="preserve">4.3 Historical tracking — SCD Type 2</w:t>
      </w:r>
    </w:p>
    <w:p>
      <w:pPr>
        <w:spacing w:after="160" w:line="276"/>
      </w:pPr>
      <w:r>
        <w:rPr>
          <w:sz w:val="21"/>
          <w:szCs w:val="21"/>
        </w:rPr>
        <w:t xml:space="preserve">Each record is enriched with SCD (Slowly Changing Dimension) Type 2 columns: effectiveDate, expiryDate, and isCurrent. The scdType2Merge() function then:</w:t>
      </w:r>
    </w:p>
    <w:p>
      <w:pPr>
        <w:pStyle w:val="ListParagraph"/>
        <w:numPr>
          <w:ilvl w:val="0"/>
          <w:numId w:val="2"/>
        </w:numPr>
        <w:spacing w:after="80" w:line="264"/>
      </w:pPr>
      <w:r>
        <w:rPr>
          <w:sz w:val="21"/>
          <w:szCs w:val="21"/>
        </w:rPr>
        <w:t xml:space="preserve">Aligns schemas between the existing and incoming datasets (so new/removed columns from drift detection don't break the merge).</w:t>
      </w:r>
    </w:p>
    <w:p>
      <w:pPr>
        <w:pStyle w:val="ListParagraph"/>
        <w:numPr>
          <w:ilvl w:val="0"/>
          <w:numId w:val="2"/>
        </w:numPr>
        <w:spacing w:after="80" w:line="264"/>
      </w:pPr>
      <w:r>
        <w:rPr>
          <w:sz w:val="21"/>
          <w:szCs w:val="21"/>
        </w:rPr>
        <w:t xml:space="preserve">Identifies brand-new records (not present before) and inserts them as new current rows.</w:t>
      </w:r>
    </w:p>
    <w:p>
      <w:pPr>
        <w:pStyle w:val="ListParagraph"/>
        <w:numPr>
          <w:ilvl w:val="0"/>
          <w:numId w:val="2"/>
        </w:numPr>
        <w:spacing w:after="80" w:line="264"/>
      </w:pPr>
      <w:r>
        <w:rPr>
          <w:sz w:val="21"/>
          <w:szCs w:val="21"/>
        </w:rPr>
        <w:t xml:space="preserve">Identifies changed records (tracked columns differ from the current version) — expires the old version (isCurrent = false, expiryDate = now) and inserts a new current version.</w:t>
      </w:r>
    </w:p>
    <w:p>
      <w:pPr>
        <w:pStyle w:val="ListParagraph"/>
        <w:numPr>
          <w:ilvl w:val="0"/>
          <w:numId w:val="2"/>
        </w:numPr>
        <w:spacing w:after="80" w:line="264"/>
      </w:pPr>
      <w:r>
        <w:rPr>
          <w:sz w:val="21"/>
          <w:szCs w:val="21"/>
        </w:rPr>
        <w:t xml:space="preserve">Leaves unchanged records untouched.</w:t>
      </w:r>
    </w:p>
    <w:p>
      <w:pPr>
        <w:spacing w:after="160" w:line="276"/>
      </w:pPr>
      <w:r>
        <w:rPr>
          <w:sz w:val="21"/>
          <w:szCs w:val="21"/>
        </w:rPr>
        <w:t xml:space="preserve">This means the Silver layer never overwrites history — every past state of a record remains queryable, which is exactly the “no historical data, changes over time cannot be tracked” gap identified in the problem statement.</w:t>
      </w:r>
    </w:p>
    <w:p>
      <w:pPr>
        <w:pStyle w:val="Heading1"/>
        <w:pBdr>
          <w:bottom w:val="single" w:color="2E74B5" w:sz="6" w:space="4"/>
        </w:pBdr>
        <w:spacing w:after="160" w:before="360"/>
      </w:pPr>
      <w:r>
        <w:rPr>
          <w:b/>
          <w:bCs/>
          <w:color w:val="1F3864"/>
          <w:sz w:val="30"/>
          <w:szCs w:val="30"/>
        </w:rPr>
        <w:t xml:space="preserve">5. Gold Layer — Dimensional Model  (Added Explicitly)</w:t>
      </w:r>
    </w:p>
    <w:p>
      <w:pPr>
        <w:pBdr>
          <w:top w:val="single" w:color="DCE6F1" w:sz="2" w:space="4"/>
          <w:bottom w:val="single" w:color="DCE6F1" w:sz="2" w:space="4"/>
          <w:left w:val="single" w:color="2E74B5" w:sz="24" w:space="8"/>
          <w:right w:val="single" w:color="DCE6F1" w:sz="2" w:space="4"/>
        </w:pBdr>
        <w:shd w:fill="DCE6F1" w:val="clear"/>
        <w:spacing w:after="200" w:before="120"/>
      </w:pPr>
      <w:r>
        <w:rPr>
          <w:b/>
          <w:bCs/>
          <w:color w:val="1F3864"/>
          <w:sz w:val="21"/>
          <w:szCs w:val="21"/>
        </w:rPr>
        <w:t xml:space="preserve">Not in the original scope:  </w:t>
      </w:r>
      <w:r>
        <w:rPr>
          <w:sz w:val="21"/>
          <w:szCs w:val="21"/>
        </w:rPr>
        <w:t xml:space="preserve">The problem statement stops at cleaning, drift detection, and history. A Gold layer and dimensional model were not requested. This layer was designed and built independently to turn the historized Silver data into something a BI/reporting tool or analyst could query directly.</w:t>
      </w:r>
    </w:p>
    <w:p>
      <w:pPr>
        <w:spacing w:after="160" w:line="276"/>
      </w:pPr>
      <w:r>
        <w:rPr>
          <w:sz w:val="21"/>
          <w:szCs w:val="21"/>
        </w:rPr>
        <w:t xml:space="preserve">Implemented in 4GoldSql, using Spark SQL on top of the Silver temp views. The design follows a standard star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1683"/>
        <w:gridCol w:w="5236"/>
      </w:tblGrid>
      <w:tr>
        <w:trPr>
          <w:tblHeader/>
        </w:trPr>
        <w:tc>
          <w:tcPr>
            <w:tcW w:type="dxa" w:w="2431"/>
            <w:shd w:fill="1F3864" w:val="clear"/>
            <w:tcMar>
              <w:top w:type="dxa" w:w="80"/>
              <w:left w:type="dxa" w:w="100"/>
              <w:bottom w:type="dxa" w:w="80"/>
              <w:right w:type="dxa" w:w="100"/>
            </w:tcMar>
          </w:tcPr>
          <w:p>
            <w:pPr>
              <w:spacing w:after="40"/>
            </w:pPr>
            <w:r>
              <w:rPr>
                <w:b/>
                <w:bCs/>
                <w:color w:val="FFFFFF"/>
                <w:sz w:val="19"/>
                <w:szCs w:val="19"/>
              </w:rPr>
              <w:t xml:space="preserve">Table</w:t>
            </w:r>
          </w:p>
        </w:tc>
        <w:tc>
          <w:tcPr>
            <w:tcW w:type="dxa" w:w="1683"/>
            <w:shd w:fill="1F3864" w:val="clear"/>
            <w:tcMar>
              <w:top w:type="dxa" w:w="80"/>
              <w:left w:type="dxa" w:w="100"/>
              <w:bottom w:type="dxa" w:w="80"/>
              <w:right w:type="dxa" w:w="100"/>
            </w:tcMar>
          </w:tcPr>
          <w:p>
            <w:pPr>
              <w:spacing w:after="40"/>
            </w:pPr>
            <w:r>
              <w:rPr>
                <w:b/>
                <w:bCs/>
                <w:color w:val="FFFFFF"/>
                <w:sz w:val="19"/>
                <w:szCs w:val="19"/>
              </w:rPr>
              <w:t xml:space="preserve">Type</w:t>
            </w:r>
          </w:p>
        </w:tc>
        <w:tc>
          <w:tcPr>
            <w:tcW w:type="dxa" w:w="5236"/>
            <w:shd w:fill="1F3864" w:val="clear"/>
            <w:tcMar>
              <w:top w:type="dxa" w:w="80"/>
              <w:left w:type="dxa" w:w="100"/>
              <w:bottom w:type="dxa" w:w="80"/>
              <w:right w:type="dxa" w:w="100"/>
            </w:tcMar>
          </w:tcPr>
          <w:p>
            <w:pPr>
              <w:spacing w:after="40"/>
            </w:pPr>
            <w:r>
              <w:rPr>
                <w:b/>
                <w:bCs/>
                <w:color w:val="FFFFFF"/>
                <w:sz w:val="19"/>
                <w:szCs w:val="19"/>
              </w:rPr>
              <w:t xml:space="preserve">Grain / Purpose</w:t>
            </w:r>
          </w:p>
        </w:tc>
      </w:tr>
      <w:tr>
        <w:tc>
          <w:tcPr>
            <w:tcW w:type="dxa" w:w="2431"/>
            <w:tcMar>
              <w:top w:type="dxa" w:w="70"/>
              <w:left w:type="dxa" w:w="100"/>
              <w:bottom w:type="dxa" w:w="70"/>
              <w:right w:type="dxa" w:w="100"/>
            </w:tcMar>
          </w:tcPr>
          <w:p>
            <w:pPr>
              <w:spacing w:after="40"/>
            </w:pPr>
            <w:r>
              <w:rPr>
                <w:sz w:val="19"/>
                <w:szCs w:val="19"/>
              </w:rPr>
              <w:t xml:space="preserve">dimCustomers</w:t>
            </w:r>
          </w:p>
        </w:tc>
        <w:tc>
          <w:tcPr>
            <w:tcW w:type="dxa" w:w="1683"/>
            <w:tcMar>
              <w:top w:type="dxa" w:w="70"/>
              <w:left w:type="dxa" w:w="100"/>
              <w:bottom w:type="dxa" w:w="70"/>
              <w:right w:type="dxa" w:w="100"/>
            </w:tcMar>
          </w:tcPr>
          <w:p>
            <w:pPr>
              <w:spacing w:after="40"/>
            </w:pPr>
            <w:r>
              <w:rPr>
                <w:sz w:val="19"/>
                <w:szCs w:val="19"/>
              </w:rPr>
              <w:t xml:space="preserve">Dimension</w:t>
            </w:r>
          </w:p>
        </w:tc>
        <w:tc>
          <w:tcPr>
            <w:tcW w:type="dxa" w:w="5236"/>
            <w:tcMar>
              <w:top w:type="dxa" w:w="70"/>
              <w:left w:type="dxa" w:w="100"/>
              <w:bottom w:type="dxa" w:w="70"/>
              <w:right w:type="dxa" w:w="100"/>
            </w:tcMar>
          </w:tcPr>
          <w:p>
            <w:pPr>
              <w:spacing w:after="40"/>
            </w:pPr>
            <w:r>
              <w:rPr>
                <w:sz w:val="19"/>
                <w:szCs w:val="19"/>
              </w:rPr>
              <w:t xml:space="preserve">One current customer record per customer_id (filtered to isCurrent = true from the SCD-tracked Silver table).</w:t>
            </w:r>
          </w:p>
        </w:tc>
      </w:tr>
      <w:tr>
        <w:tc>
          <w:tcPr>
            <w:tcW w:type="dxa" w:w="2431"/>
            <w:tcMar>
              <w:top w:type="dxa" w:w="70"/>
              <w:left w:type="dxa" w:w="100"/>
              <w:bottom w:type="dxa" w:w="70"/>
              <w:right w:type="dxa" w:w="100"/>
            </w:tcMar>
          </w:tcPr>
          <w:p>
            <w:pPr>
              <w:spacing w:after="40"/>
            </w:pPr>
            <w:r>
              <w:rPr>
                <w:sz w:val="19"/>
                <w:szCs w:val="19"/>
              </w:rPr>
              <w:t xml:space="preserve">dimProducts</w:t>
            </w:r>
          </w:p>
        </w:tc>
        <w:tc>
          <w:tcPr>
            <w:tcW w:type="dxa" w:w="1683"/>
            <w:tcMar>
              <w:top w:type="dxa" w:w="70"/>
              <w:left w:type="dxa" w:w="100"/>
              <w:bottom w:type="dxa" w:w="70"/>
              <w:right w:type="dxa" w:w="100"/>
            </w:tcMar>
          </w:tcPr>
          <w:p>
            <w:pPr>
              <w:spacing w:after="40"/>
            </w:pPr>
            <w:r>
              <w:rPr>
                <w:sz w:val="19"/>
                <w:szCs w:val="19"/>
              </w:rPr>
              <w:t xml:space="preserve">Dimension</w:t>
            </w:r>
          </w:p>
        </w:tc>
        <w:tc>
          <w:tcPr>
            <w:tcW w:type="dxa" w:w="5236"/>
            <w:tcMar>
              <w:top w:type="dxa" w:w="70"/>
              <w:left w:type="dxa" w:w="100"/>
              <w:bottom w:type="dxa" w:w="70"/>
              <w:right w:type="dxa" w:w="100"/>
            </w:tcMar>
          </w:tcPr>
          <w:p>
            <w:pPr>
              <w:spacing w:after="40"/>
            </w:pPr>
            <w:r>
              <w:rPr>
                <w:sz w:val="19"/>
                <w:szCs w:val="19"/>
              </w:rPr>
              <w:t xml:space="preserve">Product catalog, joined with category-name translation for a readable category label.</w:t>
            </w:r>
          </w:p>
        </w:tc>
      </w:tr>
      <w:tr>
        <w:tc>
          <w:tcPr>
            <w:tcW w:type="dxa" w:w="2431"/>
            <w:tcMar>
              <w:top w:type="dxa" w:w="70"/>
              <w:left w:type="dxa" w:w="100"/>
              <w:bottom w:type="dxa" w:w="70"/>
              <w:right w:type="dxa" w:w="100"/>
            </w:tcMar>
          </w:tcPr>
          <w:p>
            <w:pPr>
              <w:spacing w:after="40"/>
            </w:pPr>
            <w:r>
              <w:rPr>
                <w:sz w:val="19"/>
                <w:szCs w:val="19"/>
              </w:rPr>
              <w:t xml:space="preserve">dimSellers</w:t>
            </w:r>
          </w:p>
        </w:tc>
        <w:tc>
          <w:tcPr>
            <w:tcW w:type="dxa" w:w="1683"/>
            <w:tcMar>
              <w:top w:type="dxa" w:w="70"/>
              <w:left w:type="dxa" w:w="100"/>
              <w:bottom w:type="dxa" w:w="70"/>
              <w:right w:type="dxa" w:w="100"/>
            </w:tcMar>
          </w:tcPr>
          <w:p>
            <w:pPr>
              <w:spacing w:after="40"/>
            </w:pPr>
            <w:r>
              <w:rPr>
                <w:sz w:val="19"/>
                <w:szCs w:val="19"/>
              </w:rPr>
              <w:t xml:space="preserve">Dimension</w:t>
            </w:r>
          </w:p>
        </w:tc>
        <w:tc>
          <w:tcPr>
            <w:tcW w:type="dxa" w:w="5236"/>
            <w:tcMar>
              <w:top w:type="dxa" w:w="70"/>
              <w:left w:type="dxa" w:w="100"/>
              <w:bottom w:type="dxa" w:w="70"/>
              <w:right w:type="dxa" w:w="100"/>
            </w:tcMar>
          </w:tcPr>
          <w:p>
            <w:pPr>
              <w:spacing w:after="40"/>
            </w:pPr>
            <w:r>
              <w:rPr>
                <w:sz w:val="19"/>
                <w:szCs w:val="19"/>
              </w:rPr>
              <w:t xml:space="preserve">Seller_id, city and state.</w:t>
            </w:r>
          </w:p>
        </w:tc>
      </w:tr>
      <w:tr>
        <w:tc>
          <w:tcPr>
            <w:tcW w:type="dxa" w:w="2431"/>
            <w:tcMar>
              <w:top w:type="dxa" w:w="70"/>
              <w:left w:type="dxa" w:w="100"/>
              <w:bottom w:type="dxa" w:w="70"/>
              <w:right w:type="dxa" w:w="100"/>
            </w:tcMar>
          </w:tcPr>
          <w:p>
            <w:pPr>
              <w:spacing w:after="40"/>
            </w:pPr>
            <w:r>
              <w:rPr>
                <w:sz w:val="19"/>
                <w:szCs w:val="19"/>
              </w:rPr>
              <w:t xml:space="preserve">factOrderItems</w:t>
            </w:r>
          </w:p>
        </w:tc>
        <w:tc>
          <w:tcPr>
            <w:tcW w:type="dxa" w:w="1683"/>
            <w:tcMar>
              <w:top w:type="dxa" w:w="70"/>
              <w:left w:type="dxa" w:w="100"/>
              <w:bottom w:type="dxa" w:w="70"/>
              <w:right w:type="dxa" w:w="100"/>
            </w:tcMar>
          </w:tcPr>
          <w:p>
            <w:pPr>
              <w:spacing w:after="40"/>
            </w:pPr>
            <w:r>
              <w:rPr>
                <w:sz w:val="19"/>
                <w:szCs w:val="19"/>
              </w:rPr>
              <w:t xml:space="preserve">Fact</w:t>
            </w:r>
          </w:p>
        </w:tc>
        <w:tc>
          <w:tcPr>
            <w:tcW w:type="dxa" w:w="5236"/>
            <w:tcMar>
              <w:top w:type="dxa" w:w="70"/>
              <w:left w:type="dxa" w:w="100"/>
              <w:bottom w:type="dxa" w:w="70"/>
              <w:right w:type="dxa" w:w="100"/>
            </w:tcMar>
          </w:tcPr>
          <w:p>
            <w:pPr>
              <w:spacing w:after="40"/>
            </w:pPr>
            <w:r>
              <w:rPr>
                <w:sz w:val="19"/>
                <w:szCs w:val="19"/>
              </w:rPr>
              <w:t xml:space="preserve">One row per order line item; joins order items to orders; derives total_item_value = price + freight_value.</w:t>
            </w:r>
          </w:p>
        </w:tc>
      </w:tr>
      <w:tr>
        <w:tc>
          <w:tcPr>
            <w:tcW w:type="dxa" w:w="2431"/>
            <w:tcMar>
              <w:top w:type="dxa" w:w="70"/>
              <w:left w:type="dxa" w:w="100"/>
              <w:bottom w:type="dxa" w:w="70"/>
              <w:right w:type="dxa" w:w="100"/>
            </w:tcMar>
          </w:tcPr>
          <w:p>
            <w:pPr>
              <w:spacing w:after="40"/>
            </w:pPr>
            <w:r>
              <w:rPr>
                <w:sz w:val="19"/>
                <w:szCs w:val="19"/>
              </w:rPr>
              <w:t xml:space="preserve">factPayments</w:t>
            </w:r>
          </w:p>
        </w:tc>
        <w:tc>
          <w:tcPr>
            <w:tcW w:type="dxa" w:w="1683"/>
            <w:tcMar>
              <w:top w:type="dxa" w:w="70"/>
              <w:left w:type="dxa" w:w="100"/>
              <w:bottom w:type="dxa" w:w="70"/>
              <w:right w:type="dxa" w:w="100"/>
            </w:tcMar>
          </w:tcPr>
          <w:p>
            <w:pPr>
              <w:spacing w:after="40"/>
            </w:pPr>
            <w:r>
              <w:rPr>
                <w:sz w:val="19"/>
                <w:szCs w:val="19"/>
              </w:rPr>
              <w:t xml:space="preserve">Fact</w:t>
            </w:r>
          </w:p>
        </w:tc>
        <w:tc>
          <w:tcPr>
            <w:tcW w:type="dxa" w:w="5236"/>
            <w:tcMar>
              <w:top w:type="dxa" w:w="70"/>
              <w:left w:type="dxa" w:w="100"/>
              <w:bottom w:type="dxa" w:w="70"/>
              <w:right w:type="dxa" w:w="100"/>
            </w:tcMar>
          </w:tcPr>
          <w:p>
            <w:pPr>
              <w:spacing w:after="40"/>
            </w:pPr>
            <w:r>
              <w:rPr>
                <w:sz w:val="19"/>
                <w:szCs w:val="19"/>
              </w:rPr>
              <w:t xml:space="preserve">One row per order, aggregated from potentially multiple payment rows; uses a window function to pick the primary payment type per order.</w:t>
            </w:r>
          </w:p>
        </w:tc>
      </w:tr>
    </w:tbl>
    <w:p>
      <w:pPr>
        <w:spacing w:before="200"/>
      </w:pPr>
    </w:p>
    <w:p>
      <w:pPr>
        <w:spacing w:after="160" w:line="276"/>
      </w:pPr>
      <w:r>
        <w:rPr>
          <w:sz w:val="21"/>
          <w:szCs w:val="21"/>
        </w:rPr>
        <w:t xml:space="preserve">Key design choices: dimCustomers is deliberately filtered to isCurrent = true, so the Gold layer always reflects the latest state of each entity while the full change history remains available in Silver for audit purposes. factPayments uses ROW_NUMBER() OVER (PARTITION BY order_id ORDER BY payment_value DESC) inside a CTE to resolve the “primary” payment method when an order has multiple payment rows — a data-quality decision made explicitly for this project.</w:t>
      </w:r>
    </w:p>
    <w:p>
      <w:pPr>
        <w:pStyle w:val="Heading1"/>
        <w:pBdr>
          <w:bottom w:val="single" w:color="2E74B5" w:sz="6" w:space="4"/>
        </w:pBdr>
        <w:spacing w:after="160" w:before="360"/>
      </w:pPr>
      <w:r>
        <w:rPr>
          <w:b/>
          <w:bCs/>
          <w:color w:val="1F3864"/>
          <w:sz w:val="30"/>
          <w:szCs w:val="30"/>
        </w:rPr>
        <w:t xml:space="preserve">6. Analytics Layer — Business Questions  (Defined Explicitly)</w:t>
      </w:r>
    </w:p>
    <w:p>
      <w:pPr>
        <w:pBdr>
          <w:top w:val="single" w:color="DCE6F1" w:sz="2" w:space="4"/>
          <w:bottom w:val="single" w:color="DCE6F1" w:sz="2" w:space="4"/>
          <w:left w:val="single" w:color="2E74B5" w:sz="24" w:space="8"/>
          <w:right w:val="single" w:color="DCE6F1" w:sz="2" w:space="4"/>
        </w:pBdr>
        <w:shd w:fill="DCE6F1" w:val="clear"/>
        <w:spacing w:after="200" w:before="120"/>
      </w:pPr>
      <w:r>
        <w:rPr>
          <w:b/>
          <w:bCs/>
          <w:color w:val="1F3864"/>
          <w:sz w:val="21"/>
          <w:szCs w:val="21"/>
        </w:rPr>
        <w:t xml:space="preserve">Not in the original scope:  </w:t>
      </w:r>
      <w:r>
        <w:rPr>
          <w:sz w:val="21"/>
          <w:szCs w:val="21"/>
        </w:rPr>
        <w:t xml:space="preserve">The problem statement gives no business requirements or reporting questions to answer. The five queries below were self-defined to demonstrate that the Gold model actually supports meaningful, realistic e-commerce analytics.</w:t>
      </w:r>
    </w:p>
    <w:p>
      <w:pPr>
        <w:spacing w:after="160" w:line="276"/>
      </w:pPr>
      <w:r>
        <w:rPr>
          <w:sz w:val="21"/>
          <w:szCs w:val="21"/>
        </w:rPr>
        <w:t xml:space="preserve">Implemented in 5Analytics_SQL. Before running any query, the notebook registers each Gold Delta table as a session-scoped Spark SQL temp view (registerGoldView), so the queries below can reference table names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5797"/>
        <w:gridCol w:w="2805"/>
      </w:tblGrid>
      <w:tr>
        <w:trPr>
          <w:tblHeader/>
        </w:trPr>
        <w:tc>
          <w:tcPr>
            <w:tcW w:type="dxa" w:w="748"/>
            <w:shd w:fill="1F3864" w:val="clear"/>
            <w:tcMar>
              <w:top w:type="dxa" w:w="80"/>
              <w:left w:type="dxa" w:w="100"/>
              <w:bottom w:type="dxa" w:w="80"/>
              <w:right w:type="dxa" w:w="100"/>
            </w:tcMar>
          </w:tcPr>
          <w:p>
            <w:pPr>
              <w:spacing w:after="40"/>
            </w:pPr>
            <w:r>
              <w:rPr>
                <w:b/>
                <w:bCs/>
                <w:color w:val="FFFFFF"/>
                <w:sz w:val="19"/>
                <w:szCs w:val="19"/>
              </w:rPr>
              <w:t xml:space="preserve">#</w:t>
            </w:r>
          </w:p>
        </w:tc>
        <w:tc>
          <w:tcPr>
            <w:tcW w:type="dxa" w:w="5797"/>
            <w:shd w:fill="1F3864" w:val="clear"/>
            <w:tcMar>
              <w:top w:type="dxa" w:w="80"/>
              <w:left w:type="dxa" w:w="100"/>
              <w:bottom w:type="dxa" w:w="80"/>
              <w:right w:type="dxa" w:w="100"/>
            </w:tcMar>
          </w:tcPr>
          <w:p>
            <w:pPr>
              <w:spacing w:after="40"/>
            </w:pPr>
            <w:r>
              <w:rPr>
                <w:b/>
                <w:bCs/>
                <w:color w:val="FFFFFF"/>
                <w:sz w:val="19"/>
                <w:szCs w:val="19"/>
              </w:rPr>
              <w:t xml:space="preserve">Business question</w:t>
            </w:r>
          </w:p>
        </w:tc>
        <w:tc>
          <w:tcPr>
            <w:tcW w:type="dxa" w:w="2805"/>
            <w:shd w:fill="1F3864" w:val="clear"/>
            <w:tcMar>
              <w:top w:type="dxa" w:w="80"/>
              <w:left w:type="dxa" w:w="100"/>
              <w:bottom w:type="dxa" w:w="80"/>
              <w:right w:type="dxa" w:w="100"/>
            </w:tcMar>
          </w:tcPr>
          <w:p>
            <w:pPr>
              <w:spacing w:after="40"/>
            </w:pPr>
            <w:r>
              <w:rPr>
                <w:b/>
                <w:bCs/>
                <w:color w:val="FFFFFF"/>
                <w:sz w:val="19"/>
                <w:szCs w:val="19"/>
              </w:rPr>
              <w:t xml:space="preserve">SQL techniques used</w:t>
            </w:r>
          </w:p>
        </w:tc>
      </w:tr>
      <w:tr>
        <w:tc>
          <w:tcPr>
            <w:tcW w:type="dxa" w:w="748"/>
            <w:tcMar>
              <w:top w:type="dxa" w:w="70"/>
              <w:left w:type="dxa" w:w="100"/>
              <w:bottom w:type="dxa" w:w="70"/>
              <w:right w:type="dxa" w:w="100"/>
            </w:tcMar>
          </w:tcPr>
          <w:p>
            <w:pPr>
              <w:spacing w:after="40"/>
            </w:pPr>
            <w:r>
              <w:rPr>
                <w:sz w:val="19"/>
                <w:szCs w:val="19"/>
              </w:rPr>
              <w:t xml:space="preserve">Q1</w:t>
            </w:r>
          </w:p>
        </w:tc>
        <w:tc>
          <w:tcPr>
            <w:tcW w:type="dxa" w:w="5797"/>
            <w:tcMar>
              <w:top w:type="dxa" w:w="70"/>
              <w:left w:type="dxa" w:w="100"/>
              <w:bottom w:type="dxa" w:w="70"/>
              <w:right w:type="dxa" w:w="100"/>
            </w:tcMar>
          </w:tcPr>
          <w:p>
            <w:pPr>
              <w:spacing w:after="40"/>
            </w:pPr>
            <w:r>
              <w:rPr>
                <w:sz w:val="19"/>
                <w:szCs w:val="19"/>
              </w:rPr>
              <w:t xml:space="preserve">What is the monthly revenue trend, and how does it accumulate over time?</w:t>
            </w:r>
          </w:p>
        </w:tc>
        <w:tc>
          <w:tcPr>
            <w:tcW w:type="dxa" w:w="2805"/>
            <w:tcMar>
              <w:top w:type="dxa" w:w="70"/>
              <w:left w:type="dxa" w:w="100"/>
              <w:bottom w:type="dxa" w:w="70"/>
              <w:right w:type="dxa" w:w="100"/>
            </w:tcMar>
          </w:tcPr>
          <w:p>
            <w:pPr>
              <w:spacing w:after="40"/>
            </w:pPr>
            <w:r>
              <w:rPr>
                <w:sz w:val="19"/>
                <w:szCs w:val="19"/>
              </w:rPr>
              <w:t xml:space="preserve">GROUP BY + window function (running total via SUM() OVER)</w:t>
            </w:r>
          </w:p>
        </w:tc>
      </w:tr>
      <w:tr>
        <w:tc>
          <w:tcPr>
            <w:tcW w:type="dxa" w:w="748"/>
            <w:tcMar>
              <w:top w:type="dxa" w:w="70"/>
              <w:left w:type="dxa" w:w="100"/>
              <w:bottom w:type="dxa" w:w="70"/>
              <w:right w:type="dxa" w:w="100"/>
            </w:tcMar>
          </w:tcPr>
          <w:p>
            <w:pPr>
              <w:spacing w:after="40"/>
            </w:pPr>
            <w:r>
              <w:rPr>
                <w:sz w:val="19"/>
                <w:szCs w:val="19"/>
              </w:rPr>
              <w:t xml:space="preserve">Q2</w:t>
            </w:r>
          </w:p>
        </w:tc>
        <w:tc>
          <w:tcPr>
            <w:tcW w:type="dxa" w:w="5797"/>
            <w:tcMar>
              <w:top w:type="dxa" w:w="70"/>
              <w:left w:type="dxa" w:w="100"/>
              <w:bottom w:type="dxa" w:w="70"/>
              <w:right w:type="dxa" w:w="100"/>
            </w:tcMar>
          </w:tcPr>
          <w:p>
            <w:pPr>
              <w:spacing w:after="40"/>
            </w:pPr>
            <w:r>
              <w:rPr>
                <w:sz w:val="19"/>
                <w:szCs w:val="19"/>
              </w:rPr>
              <w:t xml:space="preserve">Which 10 products generate the most revenue, and how often are they sold?</w:t>
            </w:r>
          </w:p>
        </w:tc>
        <w:tc>
          <w:tcPr>
            <w:tcW w:type="dxa" w:w="2805"/>
            <w:tcMar>
              <w:top w:type="dxa" w:w="70"/>
              <w:left w:type="dxa" w:w="100"/>
              <w:bottom w:type="dxa" w:w="70"/>
              <w:right w:type="dxa" w:w="100"/>
            </w:tcMar>
          </w:tcPr>
          <w:p>
            <w:pPr>
              <w:spacing w:after="40"/>
            </w:pPr>
            <w:r>
              <w:rPr>
                <w:sz w:val="19"/>
                <w:szCs w:val="19"/>
              </w:rPr>
              <w:t xml:space="preserve">JOIN (fact ↔ dimension) + GROUP BY + ORDER BY</w:t>
            </w:r>
          </w:p>
        </w:tc>
      </w:tr>
      <w:tr>
        <w:tc>
          <w:tcPr>
            <w:tcW w:type="dxa" w:w="748"/>
            <w:tcMar>
              <w:top w:type="dxa" w:w="70"/>
              <w:left w:type="dxa" w:w="100"/>
              <w:bottom w:type="dxa" w:w="70"/>
              <w:right w:type="dxa" w:w="100"/>
            </w:tcMar>
          </w:tcPr>
          <w:p>
            <w:pPr>
              <w:spacing w:after="40"/>
            </w:pPr>
            <w:r>
              <w:rPr>
                <w:sz w:val="19"/>
                <w:szCs w:val="19"/>
              </w:rPr>
              <w:t xml:space="preserve">Q3</w:t>
            </w:r>
          </w:p>
        </w:tc>
        <w:tc>
          <w:tcPr>
            <w:tcW w:type="dxa" w:w="5797"/>
            <w:tcMar>
              <w:top w:type="dxa" w:w="70"/>
              <w:left w:type="dxa" w:w="100"/>
              <w:bottom w:type="dxa" w:w="70"/>
              <w:right w:type="dxa" w:w="100"/>
            </w:tcMar>
          </w:tcPr>
          <w:p>
            <w:pPr>
              <w:spacing w:after="40"/>
            </w:pPr>
            <w:r>
              <w:rPr>
                <w:sz w:val="19"/>
                <w:szCs w:val="19"/>
              </w:rPr>
              <w:t xml:space="preserve">Who are the top 3 revenue-generating sellers within each state?</w:t>
            </w:r>
          </w:p>
        </w:tc>
        <w:tc>
          <w:tcPr>
            <w:tcW w:type="dxa" w:w="2805"/>
            <w:tcMar>
              <w:top w:type="dxa" w:w="70"/>
              <w:left w:type="dxa" w:w="100"/>
              <w:bottom w:type="dxa" w:w="70"/>
              <w:right w:type="dxa" w:w="100"/>
            </w:tcMar>
          </w:tcPr>
          <w:p>
            <w:pPr>
              <w:spacing w:after="40"/>
            </w:pPr>
            <w:r>
              <w:rPr>
                <w:sz w:val="19"/>
                <w:szCs w:val="19"/>
              </w:rPr>
              <w:t xml:space="preserve">CTE + JOIN + RANK() OVER (PARTITION BY state)</w:t>
            </w:r>
          </w:p>
        </w:tc>
      </w:tr>
      <w:tr>
        <w:tc>
          <w:tcPr>
            <w:tcW w:type="dxa" w:w="748"/>
            <w:tcMar>
              <w:top w:type="dxa" w:w="70"/>
              <w:left w:type="dxa" w:w="100"/>
              <w:bottom w:type="dxa" w:w="70"/>
              <w:right w:type="dxa" w:w="100"/>
            </w:tcMar>
          </w:tcPr>
          <w:p>
            <w:pPr>
              <w:spacing w:after="40"/>
            </w:pPr>
            <w:r>
              <w:rPr>
                <w:sz w:val="19"/>
                <w:szCs w:val="19"/>
              </w:rPr>
              <w:t xml:space="preserve">Q4</w:t>
            </w:r>
          </w:p>
        </w:tc>
        <w:tc>
          <w:tcPr>
            <w:tcW w:type="dxa" w:w="5797"/>
            <w:tcMar>
              <w:top w:type="dxa" w:w="70"/>
              <w:left w:type="dxa" w:w="100"/>
              <w:bottom w:type="dxa" w:w="70"/>
              <w:right w:type="dxa" w:w="100"/>
            </w:tcMar>
          </w:tcPr>
          <w:p>
            <w:pPr>
              <w:spacing w:after="40"/>
            </w:pPr>
            <w:r>
              <w:rPr>
                <w:sz w:val="19"/>
                <w:szCs w:val="19"/>
              </w:rPr>
              <w:t xml:space="preserve">How are customers distributed across New / Regular / Loyal segments, based on order count?</w:t>
            </w:r>
          </w:p>
        </w:tc>
        <w:tc>
          <w:tcPr>
            <w:tcW w:type="dxa" w:w="2805"/>
            <w:tcMar>
              <w:top w:type="dxa" w:w="70"/>
              <w:left w:type="dxa" w:w="100"/>
              <w:bottom w:type="dxa" w:w="70"/>
              <w:right w:type="dxa" w:w="100"/>
            </w:tcMar>
          </w:tcPr>
          <w:p>
            <w:pPr>
              <w:spacing w:after="40"/>
            </w:pPr>
            <w:r>
              <w:rPr>
                <w:sz w:val="19"/>
                <w:szCs w:val="19"/>
              </w:rPr>
              <w:t xml:space="preserve">CTE + CASE (conditional segmentation)</w:t>
            </w:r>
          </w:p>
        </w:tc>
      </w:tr>
      <w:tr>
        <w:tc>
          <w:tcPr>
            <w:tcW w:type="dxa" w:w="748"/>
            <w:tcMar>
              <w:top w:type="dxa" w:w="70"/>
              <w:left w:type="dxa" w:w="100"/>
              <w:bottom w:type="dxa" w:w="70"/>
              <w:right w:type="dxa" w:w="100"/>
            </w:tcMar>
          </w:tcPr>
          <w:p>
            <w:pPr>
              <w:spacing w:after="40"/>
            </w:pPr>
            <w:r>
              <w:rPr>
                <w:sz w:val="19"/>
                <w:szCs w:val="19"/>
              </w:rPr>
              <w:t xml:space="preserve">Q5</w:t>
            </w:r>
          </w:p>
        </w:tc>
        <w:tc>
          <w:tcPr>
            <w:tcW w:type="dxa" w:w="5797"/>
            <w:tcMar>
              <w:top w:type="dxa" w:w="70"/>
              <w:left w:type="dxa" w:w="100"/>
              <w:bottom w:type="dxa" w:w="70"/>
              <w:right w:type="dxa" w:w="100"/>
            </w:tcMar>
          </w:tcPr>
          <w:p>
            <w:pPr>
              <w:spacing w:after="40"/>
            </w:pPr>
            <w:r>
              <w:rPr>
                <w:sz w:val="19"/>
                <w:szCs w:val="19"/>
              </w:rPr>
              <w:t xml:space="preserve">How does payment value break down by payment type and value tier (Low/Medium/High)?</w:t>
            </w:r>
          </w:p>
        </w:tc>
        <w:tc>
          <w:tcPr>
            <w:tcW w:type="dxa" w:w="2805"/>
            <w:tcMar>
              <w:top w:type="dxa" w:w="70"/>
              <w:left w:type="dxa" w:w="100"/>
              <w:bottom w:type="dxa" w:w="70"/>
              <w:right w:type="dxa" w:w="100"/>
            </w:tcMar>
          </w:tcPr>
          <w:p>
            <w:pPr>
              <w:spacing w:after="40"/>
            </w:pPr>
            <w:r>
              <w:rPr>
                <w:sz w:val="19"/>
                <w:szCs w:val="19"/>
              </w:rPr>
              <w:t xml:space="preserve">CTE + CASE + GROUP BY</w:t>
            </w:r>
          </w:p>
        </w:tc>
      </w:tr>
    </w:tbl>
    <w:p>
      <w:pPr>
        <w:spacing w:before="200"/>
      </w:pPr>
    </w:p>
    <w:p>
      <w:pPr>
        <w:spacing w:after="160" w:line="276"/>
      </w:pPr>
      <w:r>
        <w:rPr>
          <w:sz w:val="21"/>
          <w:szCs w:val="21"/>
        </w:rPr>
        <w:t xml:space="preserve">Together these five queries exercise every SQL concept called out in the tech stack — SELECT, WHERE-style filtering, GROUP BY, JOINS, CASE, CTEs, and window functions — against real business questions rather than generic examples.</w:t>
      </w:r>
    </w:p>
    <w:p>
      <w:pPr>
        <w:pStyle w:val="Heading1"/>
        <w:pBdr>
          <w:bottom w:val="single" w:color="2E74B5" w:sz="6" w:space="4"/>
        </w:pBdr>
        <w:spacing w:after="160" w:before="360"/>
      </w:pPr>
      <w:r>
        <w:rPr>
          <w:b/>
          <w:bCs/>
          <w:color w:val="1F3864"/>
          <w:sz w:val="30"/>
          <w:szCs w:val="30"/>
        </w:rPr>
        <w:t xml:space="preserve">7. Orchestration</w:t>
      </w:r>
    </w:p>
    <w:p>
      <w:pPr>
        <w:spacing w:after="160" w:line="276"/>
      </w:pPr>
      <w:r>
        <w:rPr>
          <w:sz w:val="21"/>
          <w:szCs w:val="21"/>
        </w:rPr>
        <w:t xml:space="preserve">Implemented in 1RunPipeLine. A single Python cell drives the entire platform end-to-end:</w:t>
      </w:r>
    </w:p>
    <w:p>
      <w:pPr>
        <w:pStyle w:val="ListParagraph"/>
        <w:numPr>
          <w:ilvl w:val="0"/>
          <w:numId w:val="2"/>
        </w:numPr>
        <w:spacing w:after="80" w:line="264"/>
      </w:pPr>
      <w:r>
        <w:rPr>
          <w:sz w:val="21"/>
          <w:szCs w:val="21"/>
        </w:rPr>
        <w:t xml:space="preserve">Maintains an ordered list of notebooks: 2Bronze → 3Silver → 4GoldSql → 5Analytics_SQL.</w:t>
      </w:r>
    </w:p>
    <w:p>
      <w:pPr>
        <w:pStyle w:val="ListParagraph"/>
        <w:numPr>
          <w:ilvl w:val="0"/>
          <w:numId w:val="2"/>
        </w:numPr>
        <w:spacing w:after="80" w:line="264"/>
      </w:pPr>
      <w:r>
        <w:rPr>
          <w:sz w:val="21"/>
          <w:szCs w:val="21"/>
        </w:rPr>
        <w:t xml:space="preserve">Calls dbutils.notebook.run(notebook, 0) for each notebook in sequence, so the whole pipeline — ingestion through analytics — runs with a single trigger.</w:t>
      </w:r>
    </w:p>
    <w:p>
      <w:pPr>
        <w:pStyle w:val="ListParagraph"/>
        <w:numPr>
          <w:ilvl w:val="0"/>
          <w:numId w:val="2"/>
        </w:numPr>
        <w:spacing w:after="80" w:line="264"/>
      </w:pPr>
      <w:r>
        <w:rPr>
          <w:sz w:val="21"/>
          <w:szCs w:val="21"/>
        </w:rPr>
        <w:t xml:space="preserve">Each notebook runs in its own isolated Spark session; temp views created inside a notebook (e.g. the Gold views used by the Analytics layer) are re-created automatically as part of that notebook's own execution, so no manual step is required when running via the orchestrator.</w:t>
      </w:r>
    </w:p>
    <w:p>
      <w:pPr>
        <w:spacing w:after="160" w:line="276"/>
      </w:pPr>
      <w:r>
        <w:rPr>
          <w:sz w:val="21"/>
          <w:szCs w:val="21"/>
        </w:rPr>
        <w:t xml:space="preserve">This satisfies the ETL / orchestration requirement from the tech stack (“ADF Pipelines — Orchestration”), implemented here as a notebook-based orchestrator rather than an external ADF pipeline, appropriate for an all-Databricks implementation.</w:t>
      </w:r>
    </w:p>
    <w:p>
      <w:pPr>
        <w:pStyle w:val="Heading1"/>
        <w:pBdr>
          <w:bottom w:val="single" w:color="2E74B5" w:sz="6" w:space="4"/>
        </w:pBdr>
        <w:spacing w:after="160" w:before="360"/>
      </w:pPr>
      <w:r>
        <w:rPr>
          <w:b/>
          <w:bCs/>
          <w:color w:val="1F3864"/>
          <w:sz w:val="30"/>
          <w:szCs w:val="30"/>
        </w:rPr>
        <w:t xml:space="preserve">8. Tech Stack Coverage</w:t>
      </w:r>
    </w:p>
    <w:p>
      <w:pPr>
        <w:spacing w:after="160" w:line="276"/>
      </w:pPr>
      <w:r>
        <w:rPr>
          <w:sz w:val="21"/>
          <w:szCs w:val="21"/>
        </w:rPr>
        <w:t xml:space="preserve">The table below maps each item from the required tech stack to where it was applied in the implementation.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6171"/>
      </w:tblGrid>
      <w:tr>
        <w:trPr>
          <w:tblHeader/>
        </w:trPr>
        <w:tc>
          <w:tcPr>
            <w:tcW w:type="dxa" w:w="3179"/>
            <w:shd w:fill="1F3864" w:val="clear"/>
            <w:tcMar>
              <w:top w:type="dxa" w:w="80"/>
              <w:left w:type="dxa" w:w="100"/>
              <w:bottom w:type="dxa" w:w="80"/>
              <w:right w:type="dxa" w:w="100"/>
            </w:tcMar>
          </w:tcPr>
          <w:p>
            <w:pPr>
              <w:spacing w:after="40"/>
            </w:pPr>
            <w:r>
              <w:rPr>
                <w:b/>
                <w:bCs/>
                <w:color w:val="FFFFFF"/>
                <w:sz w:val="19"/>
                <w:szCs w:val="19"/>
              </w:rPr>
              <w:t xml:space="preserve">Tech stack item</w:t>
            </w:r>
          </w:p>
        </w:tc>
        <w:tc>
          <w:tcPr>
            <w:tcW w:type="dxa" w:w="6171"/>
            <w:shd w:fill="1F3864" w:val="clear"/>
            <w:tcMar>
              <w:top w:type="dxa" w:w="80"/>
              <w:left w:type="dxa" w:w="100"/>
              <w:bottom w:type="dxa" w:w="80"/>
              <w:right w:type="dxa" w:w="100"/>
            </w:tcMar>
          </w:tcPr>
          <w:p>
            <w:pPr>
              <w:spacing w:after="40"/>
            </w:pPr>
            <w:r>
              <w:rPr>
                <w:b/>
                <w:bCs/>
                <w:color w:val="FFFFFF"/>
                <w:sz w:val="19"/>
                <w:szCs w:val="19"/>
              </w:rPr>
              <w:t xml:space="preserve">Where it was applied</w:t>
            </w:r>
          </w:p>
        </w:tc>
      </w:tr>
      <w:tr>
        <w:tc>
          <w:tcPr>
            <w:tcW w:type="dxa" w:w="3179"/>
            <w:tcMar>
              <w:top w:type="dxa" w:w="70"/>
              <w:left w:type="dxa" w:w="100"/>
              <w:bottom w:type="dxa" w:w="70"/>
              <w:right w:type="dxa" w:w="100"/>
            </w:tcMar>
          </w:tcPr>
          <w:p>
            <w:pPr>
              <w:spacing w:after="40"/>
            </w:pPr>
            <w:r>
              <w:rPr>
                <w:sz w:val="19"/>
                <w:szCs w:val="19"/>
              </w:rPr>
              <w:t xml:space="preserve">Python Basics / Data Structures</w:t>
            </w:r>
          </w:p>
        </w:tc>
        <w:tc>
          <w:tcPr>
            <w:tcW w:type="dxa" w:w="6171"/>
            <w:tcMar>
              <w:top w:type="dxa" w:w="70"/>
              <w:left w:type="dxa" w:w="100"/>
              <w:bottom w:type="dxa" w:w="70"/>
              <w:right w:type="dxa" w:w="100"/>
            </w:tcMar>
          </w:tcPr>
          <w:p>
            <w:pPr>
              <w:spacing w:after="40"/>
            </w:pPr>
            <w:r>
              <w:rPr>
                <w:sz w:val="19"/>
                <w:szCs w:val="19"/>
              </w:rPr>
              <w:t xml:space="preserve">File discovery and dictionary-based table management in 2Bronze.</w:t>
            </w:r>
          </w:p>
        </w:tc>
      </w:tr>
      <w:tr>
        <w:tc>
          <w:tcPr>
            <w:tcW w:type="dxa" w:w="3179"/>
            <w:tcMar>
              <w:top w:type="dxa" w:w="70"/>
              <w:left w:type="dxa" w:w="100"/>
              <w:bottom w:type="dxa" w:w="70"/>
              <w:right w:type="dxa" w:w="100"/>
            </w:tcMar>
          </w:tcPr>
          <w:p>
            <w:pPr>
              <w:spacing w:after="40"/>
            </w:pPr>
            <w:r>
              <w:rPr>
                <w:sz w:val="19"/>
                <w:szCs w:val="19"/>
              </w:rPr>
              <w:t xml:space="preserve">Python Libraries (Pandas-equivalent)</w:t>
            </w:r>
          </w:p>
        </w:tc>
        <w:tc>
          <w:tcPr>
            <w:tcW w:type="dxa" w:w="6171"/>
            <w:tcMar>
              <w:top w:type="dxa" w:w="70"/>
              <w:left w:type="dxa" w:w="100"/>
              <w:bottom w:type="dxa" w:w="70"/>
              <w:right w:type="dxa" w:w="100"/>
            </w:tcMar>
          </w:tcPr>
          <w:p>
            <w:pPr>
              <w:spacing w:after="40"/>
            </w:pPr>
            <w:r>
              <w:rPr>
                <w:sz w:val="19"/>
                <w:szCs w:val="19"/>
              </w:rPr>
              <w:t xml:space="preserve">PySpark DataFrame API used throughout for structured processing.</w:t>
            </w:r>
          </w:p>
        </w:tc>
      </w:tr>
      <w:tr>
        <w:tc>
          <w:tcPr>
            <w:tcW w:type="dxa" w:w="3179"/>
            <w:tcMar>
              <w:top w:type="dxa" w:w="70"/>
              <w:left w:type="dxa" w:w="100"/>
              <w:bottom w:type="dxa" w:w="70"/>
              <w:right w:type="dxa" w:w="100"/>
            </w:tcMar>
          </w:tcPr>
          <w:p>
            <w:pPr>
              <w:spacing w:after="40"/>
            </w:pPr>
            <w:r>
              <w:rPr>
                <w:sz w:val="19"/>
                <w:szCs w:val="19"/>
              </w:rPr>
              <w:t xml:space="preserve">Data Processing / Cleaning</w:t>
            </w:r>
          </w:p>
        </w:tc>
        <w:tc>
          <w:tcPr>
            <w:tcW w:type="dxa" w:w="6171"/>
            <w:tcMar>
              <w:top w:type="dxa" w:w="70"/>
              <w:left w:type="dxa" w:w="100"/>
              <w:bottom w:type="dxa" w:w="70"/>
              <w:right w:type="dxa" w:w="100"/>
            </w:tcMar>
          </w:tcPr>
          <w:p>
            <w:pPr>
              <w:spacing w:after="40"/>
            </w:pPr>
            <w:r>
              <w:rPr>
                <w:sz w:val="19"/>
                <w:szCs w:val="19"/>
              </w:rPr>
              <w:t xml:space="preserve">standardizeColumns, removeDuplicates, handleNulls in 3Silver.</w:t>
            </w:r>
          </w:p>
        </w:tc>
      </w:tr>
      <w:tr>
        <w:tc>
          <w:tcPr>
            <w:tcW w:type="dxa" w:w="3179"/>
            <w:tcMar>
              <w:top w:type="dxa" w:w="70"/>
              <w:left w:type="dxa" w:w="100"/>
              <w:bottom w:type="dxa" w:w="70"/>
              <w:right w:type="dxa" w:w="100"/>
            </w:tcMar>
          </w:tcPr>
          <w:p>
            <w:pPr>
              <w:spacing w:after="40"/>
            </w:pPr>
            <w:r>
              <w:rPr>
                <w:sz w:val="19"/>
                <w:szCs w:val="19"/>
              </w:rPr>
              <w:t xml:space="preserve">SELECT + Keys / WHERE + Indexes</w:t>
            </w:r>
          </w:p>
        </w:tc>
        <w:tc>
          <w:tcPr>
            <w:tcW w:type="dxa" w:w="6171"/>
            <w:tcMar>
              <w:top w:type="dxa" w:w="70"/>
              <w:left w:type="dxa" w:w="100"/>
              <w:bottom w:type="dxa" w:w="70"/>
              <w:right w:type="dxa" w:w="100"/>
            </w:tcMar>
          </w:tcPr>
          <w:p>
            <w:pPr>
              <w:spacing w:after="40"/>
            </w:pPr>
            <w:r>
              <w:rPr>
                <w:sz w:val="19"/>
                <w:szCs w:val="19"/>
              </w:rPr>
              <w:t xml:space="preserve">Gold table definitions and Analytics filters (4GoldSql, 5Analytics_SQL).</w:t>
            </w:r>
          </w:p>
        </w:tc>
      </w:tr>
      <w:tr>
        <w:tc>
          <w:tcPr>
            <w:tcW w:type="dxa" w:w="3179"/>
            <w:tcMar>
              <w:top w:type="dxa" w:w="70"/>
              <w:left w:type="dxa" w:w="100"/>
              <w:bottom w:type="dxa" w:w="70"/>
              <w:right w:type="dxa" w:w="100"/>
            </w:tcMar>
          </w:tcPr>
          <w:p>
            <w:pPr>
              <w:spacing w:after="40"/>
            </w:pPr>
            <w:r>
              <w:rPr>
                <w:sz w:val="19"/>
                <w:szCs w:val="19"/>
              </w:rPr>
              <w:t xml:space="preserve">GROUP BY / JOINS + Foreign keys</w:t>
            </w:r>
          </w:p>
        </w:tc>
        <w:tc>
          <w:tcPr>
            <w:tcW w:type="dxa" w:w="6171"/>
            <w:tcMar>
              <w:top w:type="dxa" w:w="70"/>
              <w:left w:type="dxa" w:w="100"/>
              <w:bottom w:type="dxa" w:w="70"/>
              <w:right w:type="dxa" w:w="100"/>
            </w:tcMar>
          </w:tcPr>
          <w:p>
            <w:pPr>
              <w:spacing w:after="40"/>
            </w:pPr>
            <w:r>
              <w:rPr>
                <w:sz w:val="19"/>
                <w:szCs w:val="19"/>
              </w:rPr>
              <w:t xml:space="preserve">Revenue and segmentation aggregations; fact↔dimension joins.</w:t>
            </w:r>
          </w:p>
        </w:tc>
      </w:tr>
      <w:tr>
        <w:tc>
          <w:tcPr>
            <w:tcW w:type="dxa" w:w="3179"/>
            <w:tcMar>
              <w:top w:type="dxa" w:w="70"/>
              <w:left w:type="dxa" w:w="100"/>
              <w:bottom w:type="dxa" w:w="70"/>
              <w:right w:type="dxa" w:w="100"/>
            </w:tcMar>
          </w:tcPr>
          <w:p>
            <w:pPr>
              <w:spacing w:after="40"/>
            </w:pPr>
            <w:r>
              <w:rPr>
                <w:sz w:val="19"/>
                <w:szCs w:val="19"/>
              </w:rPr>
              <w:t xml:space="preserve">CASE + ACID</w:t>
            </w:r>
          </w:p>
        </w:tc>
        <w:tc>
          <w:tcPr>
            <w:tcW w:type="dxa" w:w="6171"/>
            <w:tcMar>
              <w:top w:type="dxa" w:w="70"/>
              <w:left w:type="dxa" w:w="100"/>
              <w:bottom w:type="dxa" w:w="70"/>
              <w:right w:type="dxa" w:w="100"/>
            </w:tcMar>
          </w:tcPr>
          <w:p>
            <w:pPr>
              <w:spacing w:after="40"/>
            </w:pPr>
            <w:r>
              <w:rPr>
                <w:sz w:val="19"/>
                <w:szCs w:val="19"/>
              </w:rPr>
              <w:t xml:space="preserve">Customer segmentation (Q4) and payment tiering (Q5); Delta Lake provides ACID guarantees on every write.</w:t>
            </w:r>
          </w:p>
        </w:tc>
      </w:tr>
      <w:tr>
        <w:tc>
          <w:tcPr>
            <w:tcW w:type="dxa" w:w="3179"/>
            <w:tcMar>
              <w:top w:type="dxa" w:w="70"/>
              <w:left w:type="dxa" w:w="100"/>
              <w:bottom w:type="dxa" w:w="70"/>
              <w:right w:type="dxa" w:w="100"/>
            </w:tcMar>
          </w:tcPr>
          <w:p>
            <w:pPr>
              <w:spacing w:after="40"/>
            </w:pPr>
            <w:r>
              <w:rPr>
                <w:sz w:val="19"/>
                <w:szCs w:val="19"/>
              </w:rPr>
              <w:t xml:space="preserve">CTE / Window Functions</w:t>
            </w:r>
          </w:p>
        </w:tc>
        <w:tc>
          <w:tcPr>
            <w:tcW w:type="dxa" w:w="6171"/>
            <w:tcMar>
              <w:top w:type="dxa" w:w="70"/>
              <w:left w:type="dxa" w:w="100"/>
              <w:bottom w:type="dxa" w:w="70"/>
              <w:right w:type="dxa" w:w="100"/>
            </w:tcMar>
          </w:tcPr>
          <w:p>
            <w:pPr>
              <w:spacing w:after="40"/>
            </w:pPr>
            <w:r>
              <w:rPr>
                <w:sz w:val="19"/>
                <w:szCs w:val="19"/>
              </w:rPr>
              <w:t xml:space="preserve">Used extensively across factPayments and all five Analytics queries (RANK, SUM OVER, ROW_NUMBER).</w:t>
            </w:r>
          </w:p>
        </w:tc>
      </w:tr>
      <w:tr>
        <w:tc>
          <w:tcPr>
            <w:tcW w:type="dxa" w:w="3179"/>
            <w:tcMar>
              <w:top w:type="dxa" w:w="70"/>
              <w:left w:type="dxa" w:w="100"/>
              <w:bottom w:type="dxa" w:w="70"/>
              <w:right w:type="dxa" w:w="100"/>
            </w:tcMar>
          </w:tcPr>
          <w:p>
            <w:pPr>
              <w:spacing w:after="40"/>
            </w:pPr>
            <w:r>
              <w:rPr>
                <w:sz w:val="19"/>
                <w:szCs w:val="19"/>
              </w:rPr>
              <w:t xml:space="preserve">ETL Concepts / ADF Pipelines</w:t>
            </w:r>
          </w:p>
        </w:tc>
        <w:tc>
          <w:tcPr>
            <w:tcW w:type="dxa" w:w="6171"/>
            <w:tcMar>
              <w:top w:type="dxa" w:w="70"/>
              <w:left w:type="dxa" w:w="100"/>
              <w:bottom w:type="dxa" w:w="70"/>
              <w:right w:type="dxa" w:w="100"/>
            </w:tcMar>
          </w:tcPr>
          <w:p>
            <w:pPr>
              <w:spacing w:after="40"/>
            </w:pPr>
            <w:r>
              <w:rPr>
                <w:sz w:val="19"/>
                <w:szCs w:val="19"/>
              </w:rPr>
              <w:t xml:space="preserve">Bronze→Silver→Gold→Analytics flow, orchestrated by 1RunPipeLine.</w:t>
            </w:r>
          </w:p>
        </w:tc>
      </w:tr>
      <w:tr>
        <w:tc>
          <w:tcPr>
            <w:tcW w:type="dxa" w:w="3179"/>
            <w:tcMar>
              <w:top w:type="dxa" w:w="70"/>
              <w:left w:type="dxa" w:w="100"/>
              <w:bottom w:type="dxa" w:w="70"/>
              <w:right w:type="dxa" w:w="100"/>
            </w:tcMar>
          </w:tcPr>
          <w:p>
            <w:pPr>
              <w:spacing w:after="40"/>
            </w:pPr>
            <w:r>
              <w:rPr>
                <w:sz w:val="19"/>
                <w:szCs w:val="19"/>
              </w:rPr>
              <w:t xml:space="preserve">Spark Basics / DataFrames / Read-Write CSV/JSON</w:t>
            </w:r>
          </w:p>
        </w:tc>
        <w:tc>
          <w:tcPr>
            <w:tcW w:type="dxa" w:w="6171"/>
            <w:tcMar>
              <w:top w:type="dxa" w:w="70"/>
              <w:left w:type="dxa" w:w="100"/>
              <w:bottom w:type="dxa" w:w="70"/>
              <w:right w:type="dxa" w:w="100"/>
            </w:tcMar>
          </w:tcPr>
          <w:p>
            <w:pPr>
              <w:spacing w:after="40"/>
            </w:pPr>
            <w:r>
              <w:rPr>
                <w:sz w:val="19"/>
                <w:szCs w:val="19"/>
              </w:rPr>
              <w:t xml:space="preserve">All four notebooks; native Spark readers for CSV and JSON in 2Bronze.</w:t>
            </w:r>
          </w:p>
        </w:tc>
      </w:tr>
      <w:tr>
        <w:tc>
          <w:tcPr>
            <w:tcW w:type="dxa" w:w="3179"/>
            <w:tcMar>
              <w:top w:type="dxa" w:w="70"/>
              <w:left w:type="dxa" w:w="100"/>
              <w:bottom w:type="dxa" w:w="70"/>
              <w:right w:type="dxa" w:w="100"/>
            </w:tcMar>
          </w:tcPr>
          <w:p>
            <w:pPr>
              <w:spacing w:after="40"/>
            </w:pPr>
            <w:r>
              <w:rPr>
                <w:sz w:val="19"/>
                <w:szCs w:val="19"/>
              </w:rPr>
              <w:t xml:space="preserve">Delta Lake / Versioning</w:t>
            </w:r>
          </w:p>
        </w:tc>
        <w:tc>
          <w:tcPr>
            <w:tcW w:type="dxa" w:w="6171"/>
            <w:tcMar>
              <w:top w:type="dxa" w:w="70"/>
              <w:left w:type="dxa" w:w="100"/>
              <w:bottom w:type="dxa" w:w="70"/>
              <w:right w:type="dxa" w:w="100"/>
            </w:tcMar>
          </w:tcPr>
          <w:p>
            <w:pPr>
              <w:spacing w:after="40"/>
            </w:pPr>
            <w:r>
              <w:rPr>
                <w:sz w:val="19"/>
                <w:szCs w:val="19"/>
              </w:rPr>
              <w:t xml:space="preserve">Every layer persisted as Delta; supports time travel and ACID writes.</w:t>
            </w:r>
          </w:p>
        </w:tc>
      </w:tr>
      <w:tr>
        <w:tc>
          <w:tcPr>
            <w:tcW w:type="dxa" w:w="3179"/>
            <w:tcMar>
              <w:top w:type="dxa" w:w="70"/>
              <w:left w:type="dxa" w:w="100"/>
              <w:bottom w:type="dxa" w:w="70"/>
              <w:right w:type="dxa" w:w="100"/>
            </w:tcMar>
          </w:tcPr>
          <w:p>
            <w:pPr>
              <w:spacing w:after="40"/>
            </w:pPr>
            <w:r>
              <w:rPr>
                <w:sz w:val="19"/>
                <w:szCs w:val="19"/>
              </w:rPr>
              <w:t xml:space="preserve">Data Modeling</w:t>
            </w:r>
          </w:p>
        </w:tc>
        <w:tc>
          <w:tcPr>
            <w:tcW w:type="dxa" w:w="6171"/>
            <w:tcMar>
              <w:top w:type="dxa" w:w="70"/>
              <w:left w:type="dxa" w:w="100"/>
              <w:bottom w:type="dxa" w:w="70"/>
              <w:right w:type="dxa" w:w="100"/>
            </w:tcMar>
          </w:tcPr>
          <w:p>
            <w:pPr>
              <w:spacing w:after="40"/>
            </w:pPr>
            <w:r>
              <w:rPr>
                <w:sz w:val="19"/>
                <w:szCs w:val="19"/>
              </w:rPr>
              <w:t xml:space="preserve">Star schema (fact/dimension tables) in the Gold layer.</w:t>
            </w:r>
          </w:p>
        </w:tc>
      </w:tr>
      <w:tr>
        <w:tc>
          <w:tcPr>
            <w:tcW w:type="dxa" w:w="3179"/>
            <w:tcMar>
              <w:top w:type="dxa" w:w="70"/>
              <w:left w:type="dxa" w:w="100"/>
              <w:bottom w:type="dxa" w:w="70"/>
              <w:right w:type="dxa" w:w="100"/>
            </w:tcMar>
          </w:tcPr>
          <w:p>
            <w:pPr>
              <w:spacing w:after="40"/>
            </w:pPr>
            <w:r>
              <w:rPr>
                <w:sz w:val="19"/>
                <w:szCs w:val="19"/>
              </w:rPr>
              <w:t xml:space="preserve">SCD + Merge / History tracking</w:t>
            </w:r>
          </w:p>
        </w:tc>
        <w:tc>
          <w:tcPr>
            <w:tcW w:type="dxa" w:w="6171"/>
            <w:tcMar>
              <w:top w:type="dxa" w:w="70"/>
              <w:left w:type="dxa" w:w="100"/>
              <w:bottom w:type="dxa" w:w="70"/>
              <w:right w:type="dxa" w:w="100"/>
            </w:tcMar>
          </w:tcPr>
          <w:p>
            <w:pPr>
              <w:spacing w:after="40"/>
            </w:pPr>
            <w:r>
              <w:rPr>
                <w:sz w:val="19"/>
                <w:szCs w:val="19"/>
              </w:rPr>
              <w:t xml:space="preserve">addScdColumns, compareSchema, scdType2Merge in 3Silver.</w:t>
            </w:r>
          </w:p>
        </w:tc>
      </w:tr>
      <w:tr>
        <w:tc>
          <w:tcPr>
            <w:tcW w:type="dxa" w:w="3179"/>
            <w:tcMar>
              <w:top w:type="dxa" w:w="70"/>
              <w:left w:type="dxa" w:w="100"/>
              <w:bottom w:type="dxa" w:w="70"/>
              <w:right w:type="dxa" w:w="100"/>
            </w:tcMar>
          </w:tcPr>
          <w:p>
            <w:pPr>
              <w:spacing w:after="40"/>
            </w:pPr>
            <w:r>
              <w:rPr>
                <w:sz w:val="19"/>
                <w:szCs w:val="19"/>
              </w:rPr>
              <w:t xml:space="preserve">Medallion Bronze/Silver/Gold</w:t>
            </w:r>
          </w:p>
        </w:tc>
        <w:tc>
          <w:tcPr>
            <w:tcW w:type="dxa" w:w="6171"/>
            <w:tcMar>
              <w:top w:type="dxa" w:w="70"/>
              <w:left w:type="dxa" w:w="100"/>
              <w:bottom w:type="dxa" w:w="70"/>
              <w:right w:type="dxa" w:w="100"/>
            </w:tcMar>
          </w:tcPr>
          <w:p>
            <w:pPr>
              <w:spacing w:after="40"/>
            </w:pPr>
            <w:r>
              <w:rPr>
                <w:sz w:val="19"/>
                <w:szCs w:val="19"/>
              </w:rPr>
              <w:t xml:space="preserve">Overall architecture of the platform.</w:t>
            </w:r>
          </w:p>
        </w:tc>
      </w:tr>
    </w:tbl>
    <w:p>
      <w:pPr>
        <w:pStyle w:val="Heading1"/>
        <w:pBdr>
          <w:bottom w:val="single" w:color="2E74B5" w:sz="6" w:space="4"/>
        </w:pBdr>
        <w:spacing w:after="160" w:before="360"/>
      </w:pPr>
      <w:r>
        <w:rPr>
          <w:b/>
          <w:bCs/>
          <w:color w:val="1F3864"/>
          <w:sz w:val="30"/>
          <w:szCs w:val="30"/>
        </w:rPr>
        <w:t xml:space="preserve">9. Conclusion</w:t>
      </w:r>
    </w:p>
    <w:p>
      <w:pPr>
        <w:spacing w:after="160" w:line="276"/>
      </w:pPr>
      <w:r>
        <w:rPr>
          <w:sz w:val="21"/>
          <w:szCs w:val="21"/>
        </w:rPr>
        <w:t xml:space="preserve">This implementation directly resolves each gap identified in the problem statement: scattered files are centralized in Bronze; duplicates, nulls, and formatting issues are resolved in Silver; schema changes are surfaced automatically via compareSchema; and full historical tracking is preserved through SCD Type 2 merges. Beyond the stated requirements, a Gold-layer dimensional model and a defined set of business analytics questions were added to prove the platform produces data that is genuinely reliable and ready for analysis — not just clean, but usable.</w:t>
      </w:r>
    </w:p>
    <w:p>
      <w:pPr>
        <w:spacing w:after="160" w:line="276"/>
      </w:pPr>
      <w:r>
        <w:rPr>
          <w:i/>
          <w:iCs/>
          <w:color w:val="595959"/>
          <w:sz w:val="21"/>
          <w:szCs w:val="21"/>
        </w:rPr>
        <w:t xml:space="preserve">The result is a single, orchestrated, end-to-end pipeline that takes DataFlow Inc. from scattered raw files to trustworthy, historized, query-ready business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2026-07-19T15:39:57.466Z</dcterms:created>
  <dcterms:modified xsi:type="dcterms:W3CDTF">2026-07-19T15:39:57.479Z</dcterms:modified>
</cp:coreProperties>
</file>

<file path=docProps/custom.xml><?xml version="1.0" encoding="utf-8"?>
<Properties xmlns="http://schemas.openxmlformats.org/officeDocument/2006/custom-properties" xmlns:vt="http://schemas.openxmlformats.org/officeDocument/2006/docPropsVTypes"/>
</file>